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2D122" w14:textId="11A3EA5A" w:rsidR="006E5A74" w:rsidRPr="007B35CA" w:rsidRDefault="006E5A74" w:rsidP="00B81D1B">
      <w:pPr>
        <w:rPr>
          <w:rFonts w:ascii="Times New Roman" w:hAnsi="Times New Roman" w:cs="Times New Roman"/>
          <w:b/>
          <w:color w:val="0D0D0D" w:themeColor="text1" w:themeTint="F2"/>
          <w:sz w:val="24"/>
          <w:szCs w:val="24"/>
          <w:u w:val="single"/>
        </w:rPr>
      </w:pPr>
      <w:r w:rsidRPr="007B35CA">
        <w:rPr>
          <w:rFonts w:ascii="Times New Roman" w:hAnsi="Times New Roman" w:cs="Times New Roman"/>
          <w:b/>
          <w:color w:val="0D0D0D" w:themeColor="text1" w:themeTint="F2"/>
          <w:sz w:val="24"/>
          <w:szCs w:val="24"/>
          <w:u w:val="single"/>
        </w:rPr>
        <w:t>Supplementary</w:t>
      </w:r>
      <w:r w:rsidR="00283B27" w:rsidRPr="007B35CA">
        <w:rPr>
          <w:rFonts w:ascii="Times New Roman" w:hAnsi="Times New Roman" w:cs="Times New Roman"/>
          <w:b/>
          <w:color w:val="0D0D0D" w:themeColor="text1" w:themeTint="F2"/>
          <w:sz w:val="24"/>
          <w:szCs w:val="24"/>
          <w:u w:val="single"/>
        </w:rPr>
        <w:t xml:space="preserve"> </w:t>
      </w:r>
      <w:r w:rsidR="00CC752C" w:rsidRPr="007B35CA">
        <w:rPr>
          <w:rFonts w:ascii="Times New Roman" w:hAnsi="Times New Roman" w:cs="Times New Roman"/>
          <w:b/>
          <w:color w:val="0D0D0D" w:themeColor="text1" w:themeTint="F2"/>
          <w:sz w:val="24"/>
          <w:szCs w:val="24"/>
          <w:u w:val="single"/>
        </w:rPr>
        <w:t>Table S1</w:t>
      </w:r>
      <w:r w:rsidR="00A50279" w:rsidRPr="007B35CA">
        <w:rPr>
          <w:rFonts w:ascii="Times New Roman" w:hAnsi="Times New Roman" w:cs="Times New Roman"/>
          <w:b/>
          <w:color w:val="0D0D0D" w:themeColor="text1" w:themeTint="F2"/>
          <w:sz w:val="24"/>
          <w:szCs w:val="24"/>
          <w:u w:val="single"/>
        </w:rPr>
        <w:t>a</w:t>
      </w:r>
      <w:r w:rsidR="00283B27" w:rsidRPr="007B35CA">
        <w:rPr>
          <w:rFonts w:ascii="Times New Roman" w:hAnsi="Times New Roman" w:cs="Times New Roman"/>
          <w:b/>
          <w:color w:val="0D0D0D" w:themeColor="text1" w:themeTint="F2"/>
          <w:sz w:val="24"/>
          <w:szCs w:val="24"/>
          <w:u w:val="single"/>
        </w:rPr>
        <w:t>:</w:t>
      </w:r>
      <w:r w:rsidR="0014319A" w:rsidRPr="007B35CA">
        <w:rPr>
          <w:rFonts w:ascii="Times New Roman" w:hAnsi="Times New Roman" w:cs="Times New Roman"/>
          <w:b/>
          <w:color w:val="0D0D0D" w:themeColor="text1" w:themeTint="F2"/>
          <w:sz w:val="24"/>
          <w:szCs w:val="24"/>
          <w:u w:val="single"/>
        </w:rPr>
        <w:t xml:space="preserve"> </w:t>
      </w:r>
      <w:r w:rsidRPr="007B35CA">
        <w:rPr>
          <w:rFonts w:ascii="Times New Roman" w:hAnsi="Times New Roman" w:cs="Times New Roman"/>
          <w:b/>
          <w:color w:val="0D0D0D" w:themeColor="text1" w:themeTint="F2"/>
          <w:sz w:val="24"/>
          <w:szCs w:val="24"/>
          <w:u w:val="single"/>
        </w:rPr>
        <w:t>PRISMA 2020 Checklist</w:t>
      </w:r>
    </w:p>
    <w:tbl>
      <w:tblPr>
        <w:tblW w:w="9768" w:type="dxa"/>
        <w:tblBorders>
          <w:top w:val="nil"/>
          <w:left w:val="nil"/>
          <w:bottom w:val="nil"/>
          <w:right w:val="nil"/>
        </w:tblBorders>
        <w:tblLook w:val="0000" w:firstRow="0" w:lastRow="0" w:firstColumn="0" w:lastColumn="0" w:noHBand="0" w:noVBand="0"/>
      </w:tblPr>
      <w:tblGrid>
        <w:gridCol w:w="1666"/>
        <w:gridCol w:w="696"/>
        <w:gridCol w:w="6203"/>
        <w:gridCol w:w="1203"/>
      </w:tblGrid>
      <w:tr w:rsidR="006E5A74" w:rsidRPr="00B81D1B" w14:paraId="44F2D127" w14:textId="77777777" w:rsidTr="008B5BFD">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4F2D123" w14:textId="77777777" w:rsidR="006E5A74" w:rsidRPr="00B81D1B" w:rsidRDefault="006E5A74" w:rsidP="00B81D1B">
            <w:pPr>
              <w:pStyle w:val="Default"/>
              <w:rPr>
                <w:rFonts w:ascii="Times New Roman" w:hAnsi="Times New Roman" w:cs="Times New Roman"/>
                <w:color w:val="FFFFFF"/>
              </w:rPr>
            </w:pPr>
            <w:r w:rsidRPr="00B81D1B">
              <w:rPr>
                <w:rFonts w:ascii="Times New Roman" w:hAnsi="Times New Roman" w:cs="Times New Roman"/>
                <w:b/>
                <w:bCs/>
                <w:color w:val="FFFFFF"/>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4F2D124" w14:textId="77777777" w:rsidR="006E5A74" w:rsidRPr="00B81D1B" w:rsidRDefault="006E5A74" w:rsidP="00B81D1B">
            <w:pPr>
              <w:pStyle w:val="Default"/>
              <w:rPr>
                <w:rFonts w:ascii="Times New Roman" w:hAnsi="Times New Roman" w:cs="Times New Roman"/>
                <w:b/>
                <w:bCs/>
                <w:color w:val="FFFFFF"/>
              </w:rPr>
            </w:pPr>
            <w:r w:rsidRPr="00B81D1B">
              <w:rPr>
                <w:rFonts w:ascii="Times New Roman" w:hAnsi="Times New Roman" w:cs="Times New Roman"/>
                <w:b/>
                <w:bCs/>
                <w:color w:val="FFFFFF"/>
              </w:rPr>
              <w:t>Item #</w:t>
            </w:r>
          </w:p>
        </w:tc>
        <w:tc>
          <w:tcPr>
            <w:tcW w:w="631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F2D125" w14:textId="77777777" w:rsidR="006E5A74" w:rsidRPr="00B81D1B" w:rsidRDefault="006E5A74" w:rsidP="00B81D1B">
            <w:pPr>
              <w:pStyle w:val="Default"/>
              <w:rPr>
                <w:rFonts w:ascii="Times New Roman" w:hAnsi="Times New Roman" w:cs="Times New Roman"/>
                <w:color w:val="FFFFFF"/>
              </w:rPr>
            </w:pPr>
            <w:r w:rsidRPr="00B81D1B">
              <w:rPr>
                <w:rFonts w:ascii="Times New Roman" w:hAnsi="Times New Roman" w:cs="Times New Roman"/>
                <w:b/>
                <w:bCs/>
                <w:color w:val="FFFFFF"/>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F2D126" w14:textId="77777777" w:rsidR="006E5A74" w:rsidRPr="00B81D1B" w:rsidRDefault="006E5A74" w:rsidP="00B81D1B">
            <w:pPr>
              <w:pStyle w:val="Default"/>
              <w:rPr>
                <w:rFonts w:ascii="Times New Roman" w:hAnsi="Times New Roman" w:cs="Times New Roman"/>
                <w:color w:val="FFFFFF"/>
              </w:rPr>
            </w:pPr>
            <w:r w:rsidRPr="00B81D1B">
              <w:rPr>
                <w:rFonts w:ascii="Times New Roman" w:hAnsi="Times New Roman" w:cs="Times New Roman"/>
                <w:b/>
                <w:bCs/>
                <w:color w:val="FFFFFF"/>
              </w:rPr>
              <w:t xml:space="preserve">Location where item is reported </w:t>
            </w:r>
          </w:p>
        </w:tc>
      </w:tr>
      <w:tr w:rsidR="006E5A74" w:rsidRPr="00B81D1B" w14:paraId="44F2D12A" w14:textId="77777777" w:rsidTr="008B5BFD">
        <w:trPr>
          <w:trHeight w:val="24"/>
        </w:trPr>
        <w:tc>
          <w:tcPr>
            <w:tcW w:w="85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128" w14:textId="77777777" w:rsidR="006E5A74" w:rsidRPr="00B81D1B" w:rsidRDefault="006E5A74" w:rsidP="00B81D1B">
            <w:pPr>
              <w:pStyle w:val="Default"/>
              <w:rPr>
                <w:rFonts w:ascii="Times New Roman" w:hAnsi="Times New Roman" w:cs="Times New Roman"/>
              </w:rPr>
            </w:pPr>
            <w:r w:rsidRPr="00B81D1B">
              <w:rPr>
                <w:rFonts w:ascii="Times New Roman" w:hAnsi="Times New Roman" w:cs="Times New Roman"/>
                <w:b/>
                <w:bCs/>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129" w14:textId="77777777" w:rsidR="006E5A74" w:rsidRPr="00B81D1B" w:rsidRDefault="006E5A74" w:rsidP="00B81D1B">
            <w:pPr>
              <w:pStyle w:val="Default"/>
              <w:rPr>
                <w:rFonts w:ascii="Times New Roman" w:hAnsi="Times New Roman" w:cs="Times New Roman"/>
                <w:color w:val="auto"/>
              </w:rPr>
            </w:pPr>
          </w:p>
        </w:tc>
      </w:tr>
      <w:tr w:rsidR="006E5A74" w:rsidRPr="00B81D1B" w14:paraId="44F2D12F" w14:textId="77777777" w:rsidTr="008B5BFD">
        <w:trPr>
          <w:trHeight w:val="48"/>
        </w:trPr>
        <w:tc>
          <w:tcPr>
            <w:tcW w:w="1668" w:type="dxa"/>
            <w:tcBorders>
              <w:top w:val="single" w:sz="5" w:space="0" w:color="000000"/>
              <w:left w:val="single" w:sz="5" w:space="0" w:color="000000"/>
              <w:bottom w:val="double" w:sz="2" w:space="0" w:color="FFFFCC"/>
              <w:right w:val="single" w:sz="5" w:space="0" w:color="000000"/>
            </w:tcBorders>
          </w:tcPr>
          <w:p w14:paraId="44F2D12B"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4F2D12C"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w:t>
            </w:r>
          </w:p>
        </w:tc>
        <w:tc>
          <w:tcPr>
            <w:tcW w:w="6313" w:type="dxa"/>
            <w:tcBorders>
              <w:top w:val="single" w:sz="5" w:space="0" w:color="000000"/>
              <w:left w:val="single" w:sz="5" w:space="0" w:color="000000"/>
              <w:bottom w:val="double" w:sz="5" w:space="0" w:color="000000"/>
              <w:right w:val="single" w:sz="5" w:space="0" w:color="000000"/>
            </w:tcBorders>
          </w:tcPr>
          <w:p w14:paraId="44F2D12D"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4F2D12E" w14:textId="30CF05FB" w:rsidR="006E5A74" w:rsidRPr="00B81D1B" w:rsidRDefault="007F397D" w:rsidP="00B81D1B">
            <w:pPr>
              <w:pStyle w:val="Default"/>
              <w:spacing w:before="40" w:after="40"/>
              <w:rPr>
                <w:rFonts w:ascii="Times New Roman" w:hAnsi="Times New Roman" w:cs="Times New Roman"/>
                <w:color w:val="auto"/>
              </w:rPr>
            </w:pPr>
            <w:r>
              <w:rPr>
                <w:rFonts w:ascii="Times New Roman" w:hAnsi="Times New Roman" w:cs="Times New Roman"/>
                <w:color w:val="auto"/>
              </w:rPr>
              <w:t>1</w:t>
            </w:r>
          </w:p>
        </w:tc>
      </w:tr>
      <w:tr w:rsidR="006E5A74" w:rsidRPr="00B81D1B" w14:paraId="44F2D132" w14:textId="77777777" w:rsidTr="008B5BFD">
        <w:trPr>
          <w:trHeight w:val="24"/>
        </w:trPr>
        <w:tc>
          <w:tcPr>
            <w:tcW w:w="85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130" w14:textId="77777777" w:rsidR="006E5A74" w:rsidRPr="00B81D1B" w:rsidRDefault="006E5A74" w:rsidP="00B81D1B">
            <w:pPr>
              <w:pStyle w:val="Default"/>
              <w:rPr>
                <w:rFonts w:ascii="Times New Roman" w:hAnsi="Times New Roman" w:cs="Times New Roman"/>
              </w:rPr>
            </w:pPr>
            <w:r w:rsidRPr="00B81D1B">
              <w:rPr>
                <w:rFonts w:ascii="Times New Roman" w:hAnsi="Times New Roman" w:cs="Times New Roman"/>
                <w:b/>
                <w:bCs/>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131" w14:textId="77777777" w:rsidR="006E5A74" w:rsidRPr="00B81D1B" w:rsidRDefault="006E5A74" w:rsidP="00B81D1B">
            <w:pPr>
              <w:pStyle w:val="Default"/>
              <w:rPr>
                <w:rFonts w:ascii="Times New Roman" w:hAnsi="Times New Roman" w:cs="Times New Roman"/>
                <w:color w:val="auto"/>
              </w:rPr>
            </w:pPr>
          </w:p>
        </w:tc>
      </w:tr>
      <w:tr w:rsidR="006E5A74" w:rsidRPr="00B81D1B" w14:paraId="44F2D137" w14:textId="77777777" w:rsidTr="008B5BFD">
        <w:trPr>
          <w:trHeight w:val="48"/>
        </w:trPr>
        <w:tc>
          <w:tcPr>
            <w:tcW w:w="1668" w:type="dxa"/>
            <w:tcBorders>
              <w:top w:val="single" w:sz="5" w:space="0" w:color="000000"/>
              <w:left w:val="single" w:sz="5" w:space="0" w:color="000000"/>
              <w:bottom w:val="double" w:sz="2" w:space="0" w:color="FFFFCC"/>
              <w:right w:val="single" w:sz="5" w:space="0" w:color="000000"/>
            </w:tcBorders>
          </w:tcPr>
          <w:p w14:paraId="44F2D133"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4F2D134"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w:t>
            </w:r>
          </w:p>
        </w:tc>
        <w:tc>
          <w:tcPr>
            <w:tcW w:w="6313" w:type="dxa"/>
            <w:tcBorders>
              <w:top w:val="single" w:sz="5" w:space="0" w:color="000000"/>
              <w:left w:val="single" w:sz="5" w:space="0" w:color="000000"/>
              <w:bottom w:val="double" w:sz="5" w:space="0" w:color="000000"/>
              <w:right w:val="single" w:sz="5" w:space="0" w:color="000000"/>
            </w:tcBorders>
          </w:tcPr>
          <w:p w14:paraId="44F2D135"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44F2D136" w14:textId="12A72723" w:rsidR="006E5A74" w:rsidRPr="00B81D1B" w:rsidRDefault="006E5A74" w:rsidP="00B81D1B">
            <w:pPr>
              <w:pStyle w:val="Default"/>
              <w:spacing w:before="40" w:after="40"/>
              <w:rPr>
                <w:rFonts w:ascii="Times New Roman" w:hAnsi="Times New Roman" w:cs="Times New Roman"/>
                <w:color w:val="auto"/>
              </w:rPr>
            </w:pPr>
          </w:p>
        </w:tc>
      </w:tr>
      <w:tr w:rsidR="006E5A74" w:rsidRPr="00B81D1B" w14:paraId="44F2D13A" w14:textId="77777777" w:rsidTr="008B5BFD">
        <w:trPr>
          <w:trHeight w:val="24"/>
        </w:trPr>
        <w:tc>
          <w:tcPr>
            <w:tcW w:w="85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138" w14:textId="77777777" w:rsidR="006E5A74" w:rsidRPr="00B81D1B" w:rsidRDefault="006E5A74" w:rsidP="00B81D1B">
            <w:pPr>
              <w:pStyle w:val="Default"/>
              <w:rPr>
                <w:rFonts w:ascii="Times New Roman" w:hAnsi="Times New Roman" w:cs="Times New Roman"/>
              </w:rPr>
            </w:pPr>
            <w:r w:rsidRPr="00B81D1B">
              <w:rPr>
                <w:rFonts w:ascii="Times New Roman" w:hAnsi="Times New Roman" w:cs="Times New Roman"/>
                <w:b/>
                <w:bCs/>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139" w14:textId="77777777" w:rsidR="006E5A74" w:rsidRPr="00B81D1B" w:rsidRDefault="006E5A74" w:rsidP="00B81D1B">
            <w:pPr>
              <w:pStyle w:val="Default"/>
              <w:rPr>
                <w:rFonts w:ascii="Times New Roman" w:hAnsi="Times New Roman" w:cs="Times New Roman"/>
                <w:color w:val="auto"/>
              </w:rPr>
            </w:pPr>
          </w:p>
        </w:tc>
      </w:tr>
      <w:tr w:rsidR="006E5A74" w:rsidRPr="00B81D1B" w14:paraId="44F2D13F"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3B"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4F2D13C"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3</w:t>
            </w:r>
          </w:p>
        </w:tc>
        <w:tc>
          <w:tcPr>
            <w:tcW w:w="6313" w:type="dxa"/>
            <w:tcBorders>
              <w:top w:val="single" w:sz="5" w:space="0" w:color="000000"/>
              <w:left w:val="single" w:sz="5" w:space="0" w:color="000000"/>
              <w:bottom w:val="single" w:sz="5" w:space="0" w:color="000000"/>
              <w:right w:val="single" w:sz="5" w:space="0" w:color="000000"/>
            </w:tcBorders>
          </w:tcPr>
          <w:p w14:paraId="44F2D13D"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4F2D13E" w14:textId="0F7A2BC4"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4</w:t>
            </w:r>
          </w:p>
        </w:tc>
      </w:tr>
      <w:tr w:rsidR="006E5A74" w:rsidRPr="00B81D1B" w14:paraId="44F2D144" w14:textId="77777777" w:rsidTr="008B5BFD">
        <w:trPr>
          <w:trHeight w:val="48"/>
        </w:trPr>
        <w:tc>
          <w:tcPr>
            <w:tcW w:w="1668" w:type="dxa"/>
            <w:tcBorders>
              <w:top w:val="single" w:sz="5" w:space="0" w:color="000000"/>
              <w:left w:val="single" w:sz="5" w:space="0" w:color="000000"/>
              <w:bottom w:val="double" w:sz="2" w:space="0" w:color="FFFFCC"/>
              <w:right w:val="single" w:sz="5" w:space="0" w:color="000000"/>
            </w:tcBorders>
          </w:tcPr>
          <w:p w14:paraId="44F2D140"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4F2D141"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4</w:t>
            </w:r>
          </w:p>
        </w:tc>
        <w:tc>
          <w:tcPr>
            <w:tcW w:w="6313" w:type="dxa"/>
            <w:tcBorders>
              <w:top w:val="single" w:sz="5" w:space="0" w:color="000000"/>
              <w:left w:val="single" w:sz="5" w:space="0" w:color="000000"/>
              <w:bottom w:val="double" w:sz="5" w:space="0" w:color="000000"/>
              <w:right w:val="single" w:sz="5" w:space="0" w:color="000000"/>
            </w:tcBorders>
          </w:tcPr>
          <w:p w14:paraId="44F2D142"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4F2D143" w14:textId="26C046A2"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4</w:t>
            </w:r>
          </w:p>
        </w:tc>
      </w:tr>
      <w:tr w:rsidR="006E5A74" w:rsidRPr="00B81D1B" w14:paraId="44F2D147" w14:textId="77777777" w:rsidTr="008B5BFD">
        <w:trPr>
          <w:trHeight w:val="24"/>
        </w:trPr>
        <w:tc>
          <w:tcPr>
            <w:tcW w:w="85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145" w14:textId="77777777" w:rsidR="006E5A74" w:rsidRPr="00B81D1B" w:rsidRDefault="006E5A74" w:rsidP="00B81D1B">
            <w:pPr>
              <w:pStyle w:val="Default"/>
              <w:rPr>
                <w:rFonts w:ascii="Times New Roman" w:hAnsi="Times New Roman" w:cs="Times New Roman"/>
              </w:rPr>
            </w:pPr>
            <w:r w:rsidRPr="00B81D1B">
              <w:rPr>
                <w:rFonts w:ascii="Times New Roman" w:hAnsi="Times New Roman" w:cs="Times New Roman"/>
                <w:b/>
                <w:bCs/>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146" w14:textId="77777777" w:rsidR="006E5A74" w:rsidRPr="00B81D1B" w:rsidRDefault="006E5A74" w:rsidP="00B81D1B">
            <w:pPr>
              <w:pStyle w:val="Default"/>
              <w:rPr>
                <w:rFonts w:ascii="Times New Roman" w:hAnsi="Times New Roman" w:cs="Times New Roman"/>
                <w:color w:val="auto"/>
              </w:rPr>
            </w:pPr>
          </w:p>
        </w:tc>
      </w:tr>
      <w:tr w:rsidR="006E5A74" w:rsidRPr="00B81D1B" w14:paraId="44F2D14C"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48"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4F2D149"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5</w:t>
            </w:r>
          </w:p>
        </w:tc>
        <w:tc>
          <w:tcPr>
            <w:tcW w:w="6313" w:type="dxa"/>
            <w:tcBorders>
              <w:top w:val="single" w:sz="5" w:space="0" w:color="000000"/>
              <w:left w:val="single" w:sz="5" w:space="0" w:color="000000"/>
              <w:bottom w:val="single" w:sz="5" w:space="0" w:color="000000"/>
              <w:right w:val="single" w:sz="5" w:space="0" w:color="000000"/>
            </w:tcBorders>
          </w:tcPr>
          <w:p w14:paraId="44F2D14A"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44F2D14B" w14:textId="48608A5E" w:rsidR="006E5A74" w:rsidRPr="00B81D1B" w:rsidRDefault="0044239E" w:rsidP="00B81D1B">
            <w:pPr>
              <w:pStyle w:val="Default"/>
              <w:spacing w:before="40" w:after="40"/>
              <w:rPr>
                <w:rFonts w:ascii="Times New Roman" w:hAnsi="Times New Roman" w:cs="Times New Roman"/>
                <w:color w:val="auto"/>
              </w:rPr>
            </w:pPr>
            <w:r>
              <w:rPr>
                <w:rFonts w:ascii="Times New Roman" w:hAnsi="Times New Roman" w:cs="Times New Roman"/>
                <w:color w:val="auto"/>
              </w:rPr>
              <w:t>5,6</w:t>
            </w:r>
          </w:p>
        </w:tc>
      </w:tr>
      <w:tr w:rsidR="006E5A74" w:rsidRPr="00B81D1B" w14:paraId="44F2D151" w14:textId="77777777" w:rsidTr="008B5BFD">
        <w:trPr>
          <w:trHeight w:val="191"/>
        </w:trPr>
        <w:tc>
          <w:tcPr>
            <w:tcW w:w="1668" w:type="dxa"/>
            <w:tcBorders>
              <w:top w:val="single" w:sz="5" w:space="0" w:color="000000"/>
              <w:left w:val="single" w:sz="5" w:space="0" w:color="000000"/>
              <w:bottom w:val="single" w:sz="5" w:space="0" w:color="000000"/>
              <w:right w:val="single" w:sz="5" w:space="0" w:color="000000"/>
            </w:tcBorders>
          </w:tcPr>
          <w:p w14:paraId="44F2D14D"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4F2D14E"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6</w:t>
            </w:r>
          </w:p>
        </w:tc>
        <w:tc>
          <w:tcPr>
            <w:tcW w:w="6313" w:type="dxa"/>
            <w:tcBorders>
              <w:top w:val="single" w:sz="5" w:space="0" w:color="000000"/>
              <w:left w:val="single" w:sz="5" w:space="0" w:color="000000"/>
              <w:bottom w:val="single" w:sz="5" w:space="0" w:color="000000"/>
              <w:right w:val="single" w:sz="5" w:space="0" w:color="000000"/>
            </w:tcBorders>
          </w:tcPr>
          <w:p w14:paraId="44F2D14F"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44F2D150" w14:textId="79241DA2" w:rsidR="006E5A74" w:rsidRPr="00B81D1B" w:rsidRDefault="0044239E" w:rsidP="00B81D1B">
            <w:pPr>
              <w:pStyle w:val="Default"/>
              <w:spacing w:before="40" w:after="40"/>
              <w:rPr>
                <w:rFonts w:ascii="Times New Roman" w:hAnsi="Times New Roman" w:cs="Times New Roman"/>
                <w:color w:val="auto"/>
              </w:rPr>
            </w:pPr>
            <w:r>
              <w:rPr>
                <w:rFonts w:ascii="Times New Roman" w:hAnsi="Times New Roman" w:cs="Times New Roman"/>
                <w:color w:val="auto"/>
              </w:rPr>
              <w:t>5</w:t>
            </w:r>
          </w:p>
        </w:tc>
      </w:tr>
      <w:tr w:rsidR="006E5A74" w:rsidRPr="00B81D1B" w14:paraId="44F2D156"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52"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4F2D153"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7</w:t>
            </w:r>
          </w:p>
        </w:tc>
        <w:tc>
          <w:tcPr>
            <w:tcW w:w="6313" w:type="dxa"/>
            <w:tcBorders>
              <w:top w:val="single" w:sz="5" w:space="0" w:color="000000"/>
              <w:left w:val="single" w:sz="5" w:space="0" w:color="000000"/>
              <w:bottom w:val="single" w:sz="5" w:space="0" w:color="000000"/>
              <w:right w:val="single" w:sz="5" w:space="0" w:color="000000"/>
            </w:tcBorders>
          </w:tcPr>
          <w:p w14:paraId="44F2D154"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4F2D155" w14:textId="663E64FE" w:rsidR="006E5A74" w:rsidRPr="00B81D1B" w:rsidRDefault="0044239E" w:rsidP="00B81D1B">
            <w:pPr>
              <w:pStyle w:val="Default"/>
              <w:spacing w:before="40" w:after="40"/>
              <w:rPr>
                <w:rFonts w:ascii="Times New Roman" w:hAnsi="Times New Roman" w:cs="Times New Roman"/>
                <w:color w:val="auto"/>
              </w:rPr>
            </w:pPr>
            <w:r>
              <w:rPr>
                <w:rFonts w:ascii="Times New Roman" w:hAnsi="Times New Roman" w:cs="Times New Roman"/>
                <w:color w:val="auto"/>
              </w:rPr>
              <w:t>5</w:t>
            </w:r>
          </w:p>
        </w:tc>
      </w:tr>
      <w:tr w:rsidR="006E5A74" w:rsidRPr="00B81D1B" w14:paraId="44F2D15B"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57"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4F2D158"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8</w:t>
            </w:r>
          </w:p>
        </w:tc>
        <w:tc>
          <w:tcPr>
            <w:tcW w:w="6313" w:type="dxa"/>
            <w:tcBorders>
              <w:top w:val="single" w:sz="5" w:space="0" w:color="000000"/>
              <w:left w:val="single" w:sz="5" w:space="0" w:color="000000"/>
              <w:bottom w:val="single" w:sz="5" w:space="0" w:color="000000"/>
              <w:right w:val="single" w:sz="5" w:space="0" w:color="000000"/>
            </w:tcBorders>
          </w:tcPr>
          <w:p w14:paraId="44F2D159"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4F2D15A" w14:textId="12FAE5A4" w:rsidR="006E5A74" w:rsidRPr="00B81D1B" w:rsidRDefault="0044239E" w:rsidP="00B81D1B">
            <w:pPr>
              <w:pStyle w:val="Default"/>
              <w:spacing w:before="40" w:after="40"/>
              <w:rPr>
                <w:rFonts w:ascii="Times New Roman" w:hAnsi="Times New Roman" w:cs="Times New Roman"/>
                <w:color w:val="auto"/>
              </w:rPr>
            </w:pPr>
            <w:r>
              <w:rPr>
                <w:rFonts w:ascii="Times New Roman" w:hAnsi="Times New Roman" w:cs="Times New Roman"/>
                <w:color w:val="auto"/>
              </w:rPr>
              <w:t>6</w:t>
            </w:r>
          </w:p>
        </w:tc>
      </w:tr>
      <w:tr w:rsidR="006E5A74" w:rsidRPr="00B81D1B" w14:paraId="44F2D160" w14:textId="77777777" w:rsidTr="008B5BFD">
        <w:trPr>
          <w:trHeight w:val="152"/>
        </w:trPr>
        <w:tc>
          <w:tcPr>
            <w:tcW w:w="1668" w:type="dxa"/>
            <w:tcBorders>
              <w:top w:val="single" w:sz="5" w:space="0" w:color="000000"/>
              <w:left w:val="single" w:sz="5" w:space="0" w:color="000000"/>
              <w:bottom w:val="single" w:sz="5" w:space="0" w:color="000000"/>
              <w:right w:val="single" w:sz="5" w:space="0" w:color="000000"/>
            </w:tcBorders>
          </w:tcPr>
          <w:p w14:paraId="44F2D15C"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4F2D15D"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9</w:t>
            </w:r>
          </w:p>
        </w:tc>
        <w:tc>
          <w:tcPr>
            <w:tcW w:w="6313" w:type="dxa"/>
            <w:tcBorders>
              <w:top w:val="single" w:sz="5" w:space="0" w:color="000000"/>
              <w:left w:val="single" w:sz="5" w:space="0" w:color="000000"/>
              <w:bottom w:val="single" w:sz="5" w:space="0" w:color="000000"/>
              <w:right w:val="single" w:sz="5" w:space="0" w:color="000000"/>
            </w:tcBorders>
          </w:tcPr>
          <w:p w14:paraId="44F2D15E"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4F2D15F" w14:textId="00E9F7F5"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6</w:t>
            </w:r>
          </w:p>
        </w:tc>
      </w:tr>
      <w:tr w:rsidR="006E5A74" w:rsidRPr="00B81D1B" w14:paraId="44F2D165" w14:textId="77777777" w:rsidTr="008B5BFD">
        <w:trPr>
          <w:trHeight w:val="48"/>
        </w:trPr>
        <w:tc>
          <w:tcPr>
            <w:tcW w:w="1668" w:type="dxa"/>
            <w:vMerge w:val="restart"/>
            <w:tcBorders>
              <w:top w:val="single" w:sz="5" w:space="0" w:color="000000"/>
              <w:left w:val="single" w:sz="5" w:space="0" w:color="000000"/>
              <w:right w:val="single" w:sz="5" w:space="0" w:color="000000"/>
            </w:tcBorders>
          </w:tcPr>
          <w:p w14:paraId="44F2D161"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4F2D162"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10a</w:t>
            </w:r>
          </w:p>
        </w:tc>
        <w:tc>
          <w:tcPr>
            <w:tcW w:w="6313" w:type="dxa"/>
            <w:tcBorders>
              <w:top w:val="single" w:sz="5" w:space="0" w:color="000000"/>
              <w:left w:val="single" w:sz="5" w:space="0" w:color="000000"/>
              <w:bottom w:val="single" w:sz="5" w:space="0" w:color="000000"/>
              <w:right w:val="single" w:sz="5" w:space="0" w:color="000000"/>
            </w:tcBorders>
          </w:tcPr>
          <w:p w14:paraId="44F2D163"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4F2D164" w14:textId="01FF5F94" w:rsidR="006E5A74" w:rsidRPr="00B81D1B" w:rsidRDefault="0036130D" w:rsidP="00B81D1B">
            <w:pPr>
              <w:pStyle w:val="Default"/>
              <w:spacing w:before="40" w:after="40"/>
              <w:rPr>
                <w:rFonts w:ascii="Times New Roman" w:hAnsi="Times New Roman" w:cs="Times New Roman"/>
                <w:color w:val="auto"/>
              </w:rPr>
            </w:pPr>
            <w:r>
              <w:rPr>
                <w:rFonts w:ascii="Times New Roman" w:hAnsi="Times New Roman" w:cs="Times New Roman"/>
                <w:color w:val="auto"/>
              </w:rPr>
              <w:t>7</w:t>
            </w:r>
          </w:p>
        </w:tc>
      </w:tr>
      <w:tr w:rsidR="006E5A74" w:rsidRPr="00B81D1B" w14:paraId="44F2D16A" w14:textId="77777777" w:rsidTr="008B5BFD">
        <w:trPr>
          <w:trHeight w:val="48"/>
        </w:trPr>
        <w:tc>
          <w:tcPr>
            <w:tcW w:w="1668" w:type="dxa"/>
            <w:vMerge/>
            <w:tcBorders>
              <w:left w:val="single" w:sz="5" w:space="0" w:color="000000"/>
              <w:bottom w:val="single" w:sz="5" w:space="0" w:color="000000"/>
              <w:right w:val="single" w:sz="5" w:space="0" w:color="000000"/>
            </w:tcBorders>
          </w:tcPr>
          <w:p w14:paraId="44F2D166"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67"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10b</w:t>
            </w:r>
          </w:p>
        </w:tc>
        <w:tc>
          <w:tcPr>
            <w:tcW w:w="6313" w:type="dxa"/>
            <w:tcBorders>
              <w:top w:val="single" w:sz="5" w:space="0" w:color="000000"/>
              <w:left w:val="single" w:sz="5" w:space="0" w:color="000000"/>
              <w:bottom w:val="single" w:sz="5" w:space="0" w:color="000000"/>
              <w:right w:val="single" w:sz="5" w:space="0" w:color="000000"/>
            </w:tcBorders>
          </w:tcPr>
          <w:p w14:paraId="44F2D168"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List and define all other variables for which data were sought (e.g. participant and intervention characteristics, funding sources). Describe any assumptions made about any missing </w:t>
            </w:r>
            <w:r w:rsidRPr="00B81D1B">
              <w:rPr>
                <w:rFonts w:ascii="Times New Roman" w:hAnsi="Times New Roman" w:cs="Times New Roman"/>
              </w:rPr>
              <w:lastRenderedPageBreak/>
              <w:t>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4F2D169" w14:textId="210E61B7" w:rsidR="006E5A74" w:rsidRPr="00B81D1B" w:rsidRDefault="0036130D" w:rsidP="00B81D1B">
            <w:pPr>
              <w:pStyle w:val="Default"/>
              <w:spacing w:before="40" w:after="40"/>
              <w:rPr>
                <w:rFonts w:ascii="Times New Roman" w:hAnsi="Times New Roman" w:cs="Times New Roman"/>
                <w:color w:val="auto"/>
              </w:rPr>
            </w:pPr>
            <w:r>
              <w:rPr>
                <w:rFonts w:ascii="Times New Roman" w:hAnsi="Times New Roman" w:cs="Times New Roman"/>
                <w:color w:val="auto"/>
              </w:rPr>
              <w:lastRenderedPageBreak/>
              <w:t>7</w:t>
            </w:r>
          </w:p>
        </w:tc>
      </w:tr>
      <w:tr w:rsidR="006E5A74" w:rsidRPr="00B81D1B" w14:paraId="44F2D16F"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6B"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4F2D16C"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11</w:t>
            </w:r>
          </w:p>
        </w:tc>
        <w:tc>
          <w:tcPr>
            <w:tcW w:w="6313" w:type="dxa"/>
            <w:tcBorders>
              <w:top w:val="single" w:sz="5" w:space="0" w:color="000000"/>
              <w:left w:val="single" w:sz="5" w:space="0" w:color="000000"/>
              <w:bottom w:val="single" w:sz="5" w:space="0" w:color="000000"/>
              <w:right w:val="single" w:sz="5" w:space="0" w:color="000000"/>
            </w:tcBorders>
          </w:tcPr>
          <w:p w14:paraId="44F2D16D"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4F2D16E" w14:textId="0A9836FE"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6</w:t>
            </w:r>
          </w:p>
        </w:tc>
      </w:tr>
      <w:tr w:rsidR="006E5A74" w:rsidRPr="00B81D1B" w14:paraId="44F2D174"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70"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4F2D171"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12</w:t>
            </w:r>
          </w:p>
        </w:tc>
        <w:tc>
          <w:tcPr>
            <w:tcW w:w="6313" w:type="dxa"/>
            <w:tcBorders>
              <w:top w:val="single" w:sz="5" w:space="0" w:color="000000"/>
              <w:left w:val="single" w:sz="5" w:space="0" w:color="000000"/>
              <w:bottom w:val="single" w:sz="5" w:space="0" w:color="000000"/>
              <w:right w:val="single" w:sz="5" w:space="0" w:color="000000"/>
            </w:tcBorders>
          </w:tcPr>
          <w:p w14:paraId="44F2D172" w14:textId="1F64C13C"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Specify for each outcome the effect measure(s) (</w:t>
            </w:r>
            <w:r w:rsidR="00E611EB" w:rsidRPr="00B81D1B">
              <w:rPr>
                <w:rFonts w:ascii="Times New Roman" w:hAnsi="Times New Roman" w:cs="Times New Roman"/>
              </w:rPr>
              <w:t>e.g.,</w:t>
            </w:r>
            <w:r w:rsidRPr="00B81D1B">
              <w:rPr>
                <w:rFonts w:ascii="Times New Roman" w:hAnsi="Times New Roman" w:cs="Times New Roman"/>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4F2D173" w14:textId="04132026"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7</w:t>
            </w:r>
          </w:p>
        </w:tc>
      </w:tr>
      <w:tr w:rsidR="006E5A74" w:rsidRPr="00B81D1B" w14:paraId="44F2D179" w14:textId="77777777" w:rsidTr="008B5BFD">
        <w:trPr>
          <w:trHeight w:val="48"/>
        </w:trPr>
        <w:tc>
          <w:tcPr>
            <w:tcW w:w="1668" w:type="dxa"/>
            <w:vMerge w:val="restart"/>
            <w:tcBorders>
              <w:top w:val="single" w:sz="5" w:space="0" w:color="000000"/>
              <w:left w:val="single" w:sz="5" w:space="0" w:color="000000"/>
              <w:right w:val="single" w:sz="5" w:space="0" w:color="000000"/>
            </w:tcBorders>
          </w:tcPr>
          <w:p w14:paraId="44F2D175"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4F2D176"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13a</w:t>
            </w:r>
          </w:p>
        </w:tc>
        <w:tc>
          <w:tcPr>
            <w:tcW w:w="6313" w:type="dxa"/>
            <w:tcBorders>
              <w:top w:val="single" w:sz="5" w:space="0" w:color="000000"/>
              <w:left w:val="single" w:sz="5" w:space="0" w:color="000000"/>
              <w:bottom w:val="single" w:sz="5" w:space="0" w:color="000000"/>
              <w:right w:val="single" w:sz="5" w:space="0" w:color="000000"/>
            </w:tcBorders>
          </w:tcPr>
          <w:p w14:paraId="44F2D177" w14:textId="4463AB12"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the processes used to decide which studies were eligible for each synthesis (</w:t>
            </w:r>
            <w:r w:rsidR="00E611EB" w:rsidRPr="00B81D1B">
              <w:rPr>
                <w:rFonts w:ascii="Times New Roman" w:hAnsi="Times New Roman" w:cs="Times New Roman"/>
              </w:rPr>
              <w:t>e.g.,</w:t>
            </w:r>
            <w:r w:rsidRPr="00B81D1B">
              <w:rPr>
                <w:rFonts w:ascii="Times New Roman" w:hAnsi="Times New Roman" w:cs="Times New Roman"/>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4F2D178" w14:textId="27565791"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 xml:space="preserve">6, </w:t>
            </w:r>
            <w:r w:rsidR="0036130D">
              <w:rPr>
                <w:rFonts w:ascii="Times New Roman" w:hAnsi="Times New Roman" w:cs="Times New Roman"/>
                <w:color w:val="auto"/>
              </w:rPr>
              <w:t>7</w:t>
            </w:r>
          </w:p>
        </w:tc>
      </w:tr>
      <w:tr w:rsidR="006E5A74" w:rsidRPr="00B81D1B" w14:paraId="44F2D17E" w14:textId="77777777" w:rsidTr="008B5BFD">
        <w:trPr>
          <w:trHeight w:val="48"/>
        </w:trPr>
        <w:tc>
          <w:tcPr>
            <w:tcW w:w="1668" w:type="dxa"/>
            <w:vMerge/>
            <w:tcBorders>
              <w:left w:val="single" w:sz="5" w:space="0" w:color="000000"/>
              <w:right w:val="single" w:sz="5" w:space="0" w:color="000000"/>
            </w:tcBorders>
          </w:tcPr>
          <w:p w14:paraId="44F2D17A"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7B"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13b</w:t>
            </w:r>
          </w:p>
        </w:tc>
        <w:tc>
          <w:tcPr>
            <w:tcW w:w="6313" w:type="dxa"/>
            <w:tcBorders>
              <w:top w:val="single" w:sz="5" w:space="0" w:color="000000"/>
              <w:left w:val="single" w:sz="5" w:space="0" w:color="000000"/>
              <w:bottom w:val="single" w:sz="5" w:space="0" w:color="000000"/>
              <w:right w:val="single" w:sz="5" w:space="0" w:color="000000"/>
            </w:tcBorders>
          </w:tcPr>
          <w:p w14:paraId="44F2D17C"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4F2D17D" w14:textId="77777777" w:rsidR="006E5A74" w:rsidRPr="00B81D1B" w:rsidRDefault="004B65D3"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Not applicable</w:t>
            </w:r>
          </w:p>
        </w:tc>
      </w:tr>
      <w:tr w:rsidR="006E5A74" w:rsidRPr="00B81D1B" w14:paraId="44F2D183" w14:textId="77777777" w:rsidTr="008B5BFD">
        <w:trPr>
          <w:trHeight w:val="48"/>
        </w:trPr>
        <w:tc>
          <w:tcPr>
            <w:tcW w:w="1668" w:type="dxa"/>
            <w:vMerge/>
            <w:tcBorders>
              <w:left w:val="single" w:sz="5" w:space="0" w:color="000000"/>
              <w:right w:val="single" w:sz="5" w:space="0" w:color="000000"/>
            </w:tcBorders>
          </w:tcPr>
          <w:p w14:paraId="44F2D17F"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80"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13c</w:t>
            </w:r>
          </w:p>
        </w:tc>
        <w:tc>
          <w:tcPr>
            <w:tcW w:w="6313" w:type="dxa"/>
            <w:tcBorders>
              <w:top w:val="single" w:sz="5" w:space="0" w:color="000000"/>
              <w:left w:val="single" w:sz="5" w:space="0" w:color="000000"/>
              <w:bottom w:val="single" w:sz="5" w:space="0" w:color="000000"/>
              <w:right w:val="single" w:sz="5" w:space="0" w:color="000000"/>
            </w:tcBorders>
          </w:tcPr>
          <w:p w14:paraId="44F2D181"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4F2D182" w14:textId="77777777" w:rsidR="006E5A74" w:rsidRPr="00B81D1B" w:rsidRDefault="004B65D3"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Not applicable</w:t>
            </w:r>
          </w:p>
        </w:tc>
      </w:tr>
      <w:tr w:rsidR="006E5A74" w:rsidRPr="00B81D1B" w14:paraId="44F2D188" w14:textId="77777777" w:rsidTr="008B5BFD">
        <w:trPr>
          <w:trHeight w:val="48"/>
        </w:trPr>
        <w:tc>
          <w:tcPr>
            <w:tcW w:w="1668" w:type="dxa"/>
            <w:vMerge/>
            <w:tcBorders>
              <w:left w:val="single" w:sz="5" w:space="0" w:color="000000"/>
              <w:right w:val="single" w:sz="5" w:space="0" w:color="000000"/>
            </w:tcBorders>
          </w:tcPr>
          <w:p w14:paraId="44F2D184"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85"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13d</w:t>
            </w:r>
          </w:p>
        </w:tc>
        <w:tc>
          <w:tcPr>
            <w:tcW w:w="6313" w:type="dxa"/>
            <w:tcBorders>
              <w:top w:val="single" w:sz="5" w:space="0" w:color="000000"/>
              <w:left w:val="single" w:sz="5" w:space="0" w:color="000000"/>
              <w:bottom w:val="single" w:sz="5" w:space="0" w:color="000000"/>
              <w:right w:val="single" w:sz="5" w:space="0" w:color="000000"/>
            </w:tcBorders>
          </w:tcPr>
          <w:p w14:paraId="44F2D186"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44F2D187" w14:textId="1E60BE29"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7</w:t>
            </w:r>
          </w:p>
        </w:tc>
      </w:tr>
      <w:tr w:rsidR="006E5A74" w:rsidRPr="00B81D1B" w14:paraId="44F2D18D" w14:textId="77777777" w:rsidTr="008B5BFD">
        <w:trPr>
          <w:trHeight w:val="48"/>
        </w:trPr>
        <w:tc>
          <w:tcPr>
            <w:tcW w:w="1668" w:type="dxa"/>
            <w:vMerge/>
            <w:tcBorders>
              <w:left w:val="single" w:sz="5" w:space="0" w:color="000000"/>
              <w:right w:val="single" w:sz="5" w:space="0" w:color="000000"/>
            </w:tcBorders>
          </w:tcPr>
          <w:p w14:paraId="44F2D189"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8A"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13e</w:t>
            </w:r>
          </w:p>
        </w:tc>
        <w:tc>
          <w:tcPr>
            <w:tcW w:w="6313" w:type="dxa"/>
            <w:tcBorders>
              <w:top w:val="single" w:sz="5" w:space="0" w:color="000000"/>
              <w:left w:val="single" w:sz="5" w:space="0" w:color="000000"/>
              <w:bottom w:val="single" w:sz="5" w:space="0" w:color="000000"/>
              <w:right w:val="single" w:sz="5" w:space="0" w:color="000000"/>
            </w:tcBorders>
          </w:tcPr>
          <w:p w14:paraId="44F2D18B" w14:textId="4551D772"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any methods used to explore possible causes of heterogeneity among study results (</w:t>
            </w:r>
            <w:r w:rsidR="00026B50" w:rsidRPr="00B81D1B">
              <w:rPr>
                <w:rFonts w:ascii="Times New Roman" w:hAnsi="Times New Roman" w:cs="Times New Roman"/>
              </w:rPr>
              <w:t>e.g.,</w:t>
            </w:r>
            <w:r w:rsidRPr="00B81D1B">
              <w:rPr>
                <w:rFonts w:ascii="Times New Roman" w:hAnsi="Times New Roman" w:cs="Times New Roman"/>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4F2D18C" w14:textId="77777777" w:rsidR="006E5A74" w:rsidRPr="00B81D1B" w:rsidRDefault="004B65D3"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Not applicable</w:t>
            </w:r>
          </w:p>
        </w:tc>
      </w:tr>
      <w:tr w:rsidR="006E5A74" w:rsidRPr="00B81D1B" w14:paraId="44F2D192" w14:textId="77777777" w:rsidTr="008B5BFD">
        <w:trPr>
          <w:trHeight w:val="50"/>
        </w:trPr>
        <w:tc>
          <w:tcPr>
            <w:tcW w:w="1668" w:type="dxa"/>
            <w:vMerge/>
            <w:tcBorders>
              <w:left w:val="single" w:sz="5" w:space="0" w:color="000000"/>
              <w:bottom w:val="single" w:sz="5" w:space="0" w:color="000000"/>
              <w:right w:val="single" w:sz="5" w:space="0" w:color="000000"/>
            </w:tcBorders>
          </w:tcPr>
          <w:p w14:paraId="44F2D18E"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8F"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13f</w:t>
            </w:r>
          </w:p>
        </w:tc>
        <w:tc>
          <w:tcPr>
            <w:tcW w:w="6313" w:type="dxa"/>
            <w:tcBorders>
              <w:top w:val="single" w:sz="5" w:space="0" w:color="000000"/>
              <w:left w:val="single" w:sz="5" w:space="0" w:color="000000"/>
              <w:bottom w:val="single" w:sz="5" w:space="0" w:color="000000"/>
              <w:right w:val="single" w:sz="5" w:space="0" w:color="000000"/>
            </w:tcBorders>
          </w:tcPr>
          <w:p w14:paraId="44F2D190"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4F2D191" w14:textId="77777777" w:rsidR="006E5A74" w:rsidRPr="00B81D1B" w:rsidRDefault="004B65D3"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Not applicable</w:t>
            </w:r>
          </w:p>
        </w:tc>
      </w:tr>
      <w:tr w:rsidR="006E5A74" w:rsidRPr="00B81D1B" w14:paraId="44F2D197"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93"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4F2D194"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14</w:t>
            </w:r>
          </w:p>
        </w:tc>
        <w:tc>
          <w:tcPr>
            <w:tcW w:w="6313" w:type="dxa"/>
            <w:tcBorders>
              <w:top w:val="single" w:sz="5" w:space="0" w:color="000000"/>
              <w:left w:val="single" w:sz="5" w:space="0" w:color="000000"/>
              <w:bottom w:val="single" w:sz="5" w:space="0" w:color="000000"/>
              <w:right w:val="single" w:sz="5" w:space="0" w:color="000000"/>
            </w:tcBorders>
          </w:tcPr>
          <w:p w14:paraId="44F2D195"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4F2D196" w14:textId="77777777" w:rsidR="006E5A74" w:rsidRPr="00B81D1B" w:rsidRDefault="004B65D3"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Not applicable</w:t>
            </w:r>
          </w:p>
        </w:tc>
      </w:tr>
      <w:tr w:rsidR="006E5A74" w:rsidRPr="00B81D1B" w14:paraId="44F2D19C"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98"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4F2D199"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15</w:t>
            </w:r>
          </w:p>
        </w:tc>
        <w:tc>
          <w:tcPr>
            <w:tcW w:w="6313" w:type="dxa"/>
            <w:tcBorders>
              <w:top w:val="single" w:sz="5" w:space="0" w:color="000000"/>
              <w:left w:val="single" w:sz="5" w:space="0" w:color="000000"/>
              <w:bottom w:val="single" w:sz="5" w:space="0" w:color="000000"/>
              <w:right w:val="single" w:sz="5" w:space="0" w:color="000000"/>
            </w:tcBorders>
          </w:tcPr>
          <w:p w14:paraId="44F2D19A"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4F2D19B" w14:textId="3748D481"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8</w:t>
            </w:r>
          </w:p>
        </w:tc>
      </w:tr>
      <w:tr w:rsidR="006E5A74" w:rsidRPr="00B81D1B" w14:paraId="44F2D19F" w14:textId="77777777" w:rsidTr="008B5BFD">
        <w:trPr>
          <w:trHeight w:val="24"/>
        </w:trPr>
        <w:tc>
          <w:tcPr>
            <w:tcW w:w="85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19D" w14:textId="77777777" w:rsidR="006E5A74" w:rsidRPr="00B81D1B" w:rsidRDefault="006E5A74" w:rsidP="00B81D1B">
            <w:pPr>
              <w:pStyle w:val="Default"/>
              <w:rPr>
                <w:rFonts w:ascii="Times New Roman" w:hAnsi="Times New Roman" w:cs="Times New Roman"/>
              </w:rPr>
            </w:pPr>
            <w:r w:rsidRPr="00B81D1B">
              <w:rPr>
                <w:rFonts w:ascii="Times New Roman" w:hAnsi="Times New Roman" w:cs="Times New Roman"/>
                <w:b/>
                <w:bCs/>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19E" w14:textId="77777777" w:rsidR="006E5A74" w:rsidRPr="00B81D1B" w:rsidRDefault="006E5A74" w:rsidP="00B81D1B">
            <w:pPr>
              <w:pStyle w:val="Default"/>
              <w:rPr>
                <w:rFonts w:ascii="Times New Roman" w:hAnsi="Times New Roman" w:cs="Times New Roman"/>
                <w:color w:val="auto"/>
              </w:rPr>
            </w:pPr>
          </w:p>
        </w:tc>
      </w:tr>
      <w:tr w:rsidR="006E5A74" w:rsidRPr="00B81D1B" w14:paraId="44F2D1A4" w14:textId="77777777" w:rsidTr="008B5BFD">
        <w:trPr>
          <w:trHeight w:val="48"/>
        </w:trPr>
        <w:tc>
          <w:tcPr>
            <w:tcW w:w="1668" w:type="dxa"/>
            <w:vMerge w:val="restart"/>
            <w:tcBorders>
              <w:top w:val="single" w:sz="5" w:space="0" w:color="000000"/>
              <w:left w:val="single" w:sz="5" w:space="0" w:color="000000"/>
              <w:right w:val="single" w:sz="5" w:space="0" w:color="000000"/>
            </w:tcBorders>
          </w:tcPr>
          <w:p w14:paraId="44F2D1A0"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4F2D1A1"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16a</w:t>
            </w:r>
          </w:p>
        </w:tc>
        <w:tc>
          <w:tcPr>
            <w:tcW w:w="6313" w:type="dxa"/>
            <w:tcBorders>
              <w:top w:val="single" w:sz="5" w:space="0" w:color="000000"/>
              <w:left w:val="single" w:sz="5" w:space="0" w:color="000000"/>
              <w:bottom w:val="single" w:sz="5" w:space="0" w:color="000000"/>
              <w:right w:val="single" w:sz="5" w:space="0" w:color="000000"/>
            </w:tcBorders>
          </w:tcPr>
          <w:p w14:paraId="44F2D1A2"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44F2D1A3" w14:textId="16F162F6"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8</w:t>
            </w:r>
          </w:p>
        </w:tc>
      </w:tr>
      <w:tr w:rsidR="006E5A74" w:rsidRPr="00B81D1B" w14:paraId="44F2D1A9" w14:textId="77777777" w:rsidTr="008B5BFD">
        <w:trPr>
          <w:trHeight w:val="48"/>
        </w:trPr>
        <w:tc>
          <w:tcPr>
            <w:tcW w:w="1668" w:type="dxa"/>
            <w:vMerge/>
            <w:tcBorders>
              <w:left w:val="single" w:sz="5" w:space="0" w:color="000000"/>
              <w:bottom w:val="single" w:sz="5" w:space="0" w:color="000000"/>
              <w:right w:val="single" w:sz="5" w:space="0" w:color="000000"/>
            </w:tcBorders>
          </w:tcPr>
          <w:p w14:paraId="44F2D1A5"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A6"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16b</w:t>
            </w:r>
          </w:p>
        </w:tc>
        <w:tc>
          <w:tcPr>
            <w:tcW w:w="6313" w:type="dxa"/>
            <w:tcBorders>
              <w:top w:val="single" w:sz="5" w:space="0" w:color="000000"/>
              <w:left w:val="single" w:sz="5" w:space="0" w:color="000000"/>
              <w:bottom w:val="single" w:sz="5" w:space="0" w:color="000000"/>
              <w:right w:val="single" w:sz="5" w:space="0" w:color="000000"/>
            </w:tcBorders>
          </w:tcPr>
          <w:p w14:paraId="44F2D1A7"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Cite studies that might appear to meet the inclusion criteria, </w:t>
            </w:r>
            <w:r w:rsidRPr="00B81D1B">
              <w:rPr>
                <w:rFonts w:ascii="Times New Roman" w:hAnsi="Times New Roman" w:cs="Times New Roman"/>
              </w:rPr>
              <w:lastRenderedPageBreak/>
              <w:t>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4F2D1A8" w14:textId="2E23C329"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lastRenderedPageBreak/>
              <w:t>8</w:t>
            </w:r>
          </w:p>
        </w:tc>
      </w:tr>
      <w:tr w:rsidR="006E5A74" w:rsidRPr="00B81D1B" w14:paraId="44F2D1AE" w14:textId="77777777" w:rsidTr="008B5BFD">
        <w:trPr>
          <w:trHeight w:val="103"/>
        </w:trPr>
        <w:tc>
          <w:tcPr>
            <w:tcW w:w="1668" w:type="dxa"/>
            <w:tcBorders>
              <w:top w:val="single" w:sz="5" w:space="0" w:color="000000"/>
              <w:left w:val="single" w:sz="5" w:space="0" w:color="000000"/>
              <w:bottom w:val="single" w:sz="5" w:space="0" w:color="000000"/>
              <w:right w:val="single" w:sz="5" w:space="0" w:color="000000"/>
            </w:tcBorders>
          </w:tcPr>
          <w:p w14:paraId="44F2D1AA"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4F2D1AB"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17</w:t>
            </w:r>
          </w:p>
        </w:tc>
        <w:tc>
          <w:tcPr>
            <w:tcW w:w="6313" w:type="dxa"/>
            <w:tcBorders>
              <w:top w:val="single" w:sz="5" w:space="0" w:color="000000"/>
              <w:left w:val="single" w:sz="5" w:space="0" w:color="000000"/>
              <w:bottom w:val="single" w:sz="5" w:space="0" w:color="000000"/>
              <w:right w:val="single" w:sz="5" w:space="0" w:color="000000"/>
            </w:tcBorders>
          </w:tcPr>
          <w:p w14:paraId="44F2D1AC"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4F2D1AD" w14:textId="5EB4D727"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8</w:t>
            </w:r>
          </w:p>
        </w:tc>
      </w:tr>
      <w:tr w:rsidR="006E5A74" w:rsidRPr="00B81D1B" w14:paraId="44F2D1B3"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AF"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4F2D1B0"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18</w:t>
            </w:r>
          </w:p>
        </w:tc>
        <w:tc>
          <w:tcPr>
            <w:tcW w:w="6313" w:type="dxa"/>
            <w:tcBorders>
              <w:top w:val="single" w:sz="5" w:space="0" w:color="000000"/>
              <w:left w:val="single" w:sz="5" w:space="0" w:color="000000"/>
              <w:bottom w:val="single" w:sz="5" w:space="0" w:color="000000"/>
              <w:right w:val="single" w:sz="5" w:space="0" w:color="000000"/>
            </w:tcBorders>
          </w:tcPr>
          <w:p w14:paraId="44F2D1B1"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4F2D1B2" w14:textId="463B43C8" w:rsidR="006E5A74" w:rsidRPr="00B81D1B" w:rsidRDefault="0036130D" w:rsidP="00B81D1B">
            <w:pPr>
              <w:pStyle w:val="Default"/>
              <w:spacing w:before="40" w:after="40"/>
              <w:rPr>
                <w:rFonts w:ascii="Times New Roman" w:hAnsi="Times New Roman" w:cs="Times New Roman"/>
                <w:color w:val="auto"/>
              </w:rPr>
            </w:pPr>
            <w:r>
              <w:rPr>
                <w:rFonts w:ascii="Times New Roman" w:hAnsi="Times New Roman" w:cs="Times New Roman"/>
                <w:color w:val="auto"/>
              </w:rPr>
              <w:t>9</w:t>
            </w:r>
          </w:p>
        </w:tc>
      </w:tr>
      <w:tr w:rsidR="006E5A74" w:rsidRPr="00B81D1B" w14:paraId="44F2D1B8"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B4"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4F2D1B5"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19</w:t>
            </w:r>
          </w:p>
        </w:tc>
        <w:tc>
          <w:tcPr>
            <w:tcW w:w="6313" w:type="dxa"/>
            <w:tcBorders>
              <w:top w:val="single" w:sz="5" w:space="0" w:color="000000"/>
              <w:left w:val="single" w:sz="5" w:space="0" w:color="000000"/>
              <w:bottom w:val="single" w:sz="5" w:space="0" w:color="000000"/>
              <w:right w:val="single" w:sz="5" w:space="0" w:color="000000"/>
            </w:tcBorders>
          </w:tcPr>
          <w:p w14:paraId="44F2D1B6"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4F2D1B7" w14:textId="61A61F2E"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9</w:t>
            </w:r>
          </w:p>
        </w:tc>
      </w:tr>
      <w:tr w:rsidR="006E5A74" w:rsidRPr="00B81D1B" w14:paraId="44F2D1BD" w14:textId="77777777" w:rsidTr="008B5BFD">
        <w:trPr>
          <w:trHeight w:val="48"/>
        </w:trPr>
        <w:tc>
          <w:tcPr>
            <w:tcW w:w="1668" w:type="dxa"/>
            <w:vMerge w:val="restart"/>
            <w:tcBorders>
              <w:top w:val="single" w:sz="5" w:space="0" w:color="000000"/>
              <w:left w:val="single" w:sz="5" w:space="0" w:color="000000"/>
              <w:right w:val="single" w:sz="5" w:space="0" w:color="000000"/>
            </w:tcBorders>
          </w:tcPr>
          <w:p w14:paraId="44F2D1B9"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4F2D1BA"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20a</w:t>
            </w:r>
          </w:p>
        </w:tc>
        <w:tc>
          <w:tcPr>
            <w:tcW w:w="6313" w:type="dxa"/>
            <w:tcBorders>
              <w:top w:val="single" w:sz="5" w:space="0" w:color="000000"/>
              <w:left w:val="single" w:sz="5" w:space="0" w:color="000000"/>
              <w:bottom w:val="single" w:sz="5" w:space="0" w:color="000000"/>
              <w:right w:val="single" w:sz="5" w:space="0" w:color="000000"/>
            </w:tcBorders>
          </w:tcPr>
          <w:p w14:paraId="44F2D1BB"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4F2D1BC" w14:textId="67A9F376"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8,9</w:t>
            </w:r>
          </w:p>
        </w:tc>
      </w:tr>
      <w:tr w:rsidR="006E5A74" w:rsidRPr="00B81D1B" w14:paraId="44F2D1C2" w14:textId="77777777" w:rsidTr="008B5BFD">
        <w:trPr>
          <w:trHeight w:val="203"/>
        </w:trPr>
        <w:tc>
          <w:tcPr>
            <w:tcW w:w="1668" w:type="dxa"/>
            <w:vMerge/>
            <w:tcBorders>
              <w:left w:val="single" w:sz="5" w:space="0" w:color="000000"/>
              <w:right w:val="single" w:sz="5" w:space="0" w:color="000000"/>
            </w:tcBorders>
          </w:tcPr>
          <w:p w14:paraId="44F2D1BE"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BF"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20b</w:t>
            </w:r>
          </w:p>
        </w:tc>
        <w:tc>
          <w:tcPr>
            <w:tcW w:w="6313" w:type="dxa"/>
            <w:tcBorders>
              <w:top w:val="single" w:sz="5" w:space="0" w:color="000000"/>
              <w:left w:val="single" w:sz="5" w:space="0" w:color="000000"/>
              <w:bottom w:val="single" w:sz="5" w:space="0" w:color="000000"/>
              <w:right w:val="single" w:sz="5" w:space="0" w:color="000000"/>
            </w:tcBorders>
          </w:tcPr>
          <w:p w14:paraId="44F2D1C0" w14:textId="273281B4"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Present results of all statistical syntheses conducted. If meta-analysis was done, present for each the summary estimate and its precision (</w:t>
            </w:r>
            <w:r w:rsidR="00E96B27" w:rsidRPr="00B81D1B">
              <w:rPr>
                <w:rFonts w:ascii="Times New Roman" w:hAnsi="Times New Roman" w:cs="Times New Roman"/>
              </w:rPr>
              <w:t>e.g.,</w:t>
            </w:r>
            <w:r w:rsidRPr="00B81D1B">
              <w:rPr>
                <w:rFonts w:ascii="Times New Roman" w:hAnsi="Times New Roman" w:cs="Times New Roman"/>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4F2D1C1" w14:textId="00D771CC"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9</w:t>
            </w:r>
          </w:p>
        </w:tc>
      </w:tr>
      <w:tr w:rsidR="006E5A74" w:rsidRPr="00B81D1B" w14:paraId="44F2D1C7" w14:textId="77777777" w:rsidTr="008B5BFD">
        <w:trPr>
          <w:trHeight w:val="48"/>
        </w:trPr>
        <w:tc>
          <w:tcPr>
            <w:tcW w:w="1668" w:type="dxa"/>
            <w:vMerge/>
            <w:tcBorders>
              <w:left w:val="single" w:sz="5" w:space="0" w:color="000000"/>
              <w:right w:val="single" w:sz="5" w:space="0" w:color="000000"/>
            </w:tcBorders>
          </w:tcPr>
          <w:p w14:paraId="44F2D1C3"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C4"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20c</w:t>
            </w:r>
          </w:p>
        </w:tc>
        <w:tc>
          <w:tcPr>
            <w:tcW w:w="6313" w:type="dxa"/>
            <w:tcBorders>
              <w:top w:val="single" w:sz="5" w:space="0" w:color="000000"/>
              <w:left w:val="single" w:sz="5" w:space="0" w:color="000000"/>
              <w:bottom w:val="single" w:sz="5" w:space="0" w:color="000000"/>
              <w:right w:val="single" w:sz="5" w:space="0" w:color="000000"/>
            </w:tcBorders>
          </w:tcPr>
          <w:p w14:paraId="44F2D1C5"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4F2D1C6" w14:textId="77777777" w:rsidR="006E5A74" w:rsidRPr="00B81D1B" w:rsidRDefault="004B65D3"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Not applicable</w:t>
            </w:r>
          </w:p>
        </w:tc>
      </w:tr>
      <w:tr w:rsidR="006E5A74" w:rsidRPr="00B81D1B" w14:paraId="44F2D1CC" w14:textId="77777777" w:rsidTr="008B5BFD">
        <w:trPr>
          <w:trHeight w:val="48"/>
        </w:trPr>
        <w:tc>
          <w:tcPr>
            <w:tcW w:w="1668" w:type="dxa"/>
            <w:vMerge/>
            <w:tcBorders>
              <w:left w:val="single" w:sz="5" w:space="0" w:color="000000"/>
              <w:bottom w:val="single" w:sz="5" w:space="0" w:color="000000"/>
              <w:right w:val="single" w:sz="5" w:space="0" w:color="000000"/>
            </w:tcBorders>
          </w:tcPr>
          <w:p w14:paraId="44F2D1C8"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C9"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20d</w:t>
            </w:r>
          </w:p>
        </w:tc>
        <w:tc>
          <w:tcPr>
            <w:tcW w:w="6313" w:type="dxa"/>
            <w:tcBorders>
              <w:top w:val="single" w:sz="5" w:space="0" w:color="000000"/>
              <w:left w:val="single" w:sz="5" w:space="0" w:color="000000"/>
              <w:bottom w:val="single" w:sz="5" w:space="0" w:color="000000"/>
              <w:right w:val="single" w:sz="5" w:space="0" w:color="000000"/>
            </w:tcBorders>
          </w:tcPr>
          <w:p w14:paraId="44F2D1CA"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4F2D1CB" w14:textId="77777777" w:rsidR="006E5A74" w:rsidRPr="00B81D1B" w:rsidRDefault="004B65D3"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Not applicable</w:t>
            </w:r>
          </w:p>
        </w:tc>
      </w:tr>
      <w:tr w:rsidR="006E5A74" w:rsidRPr="00B81D1B" w14:paraId="44F2D1D1"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CD"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4F2D1CE"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21</w:t>
            </w:r>
          </w:p>
        </w:tc>
        <w:tc>
          <w:tcPr>
            <w:tcW w:w="6313" w:type="dxa"/>
            <w:tcBorders>
              <w:top w:val="single" w:sz="5" w:space="0" w:color="000000"/>
              <w:left w:val="single" w:sz="5" w:space="0" w:color="000000"/>
              <w:bottom w:val="single" w:sz="5" w:space="0" w:color="000000"/>
              <w:right w:val="single" w:sz="5" w:space="0" w:color="000000"/>
            </w:tcBorders>
          </w:tcPr>
          <w:p w14:paraId="44F2D1CF"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44F2D1D0" w14:textId="77777777" w:rsidR="006E5A74" w:rsidRPr="00B81D1B" w:rsidRDefault="004B65D3"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Not applicable</w:t>
            </w:r>
          </w:p>
        </w:tc>
      </w:tr>
      <w:tr w:rsidR="006E5A74" w:rsidRPr="00B81D1B" w14:paraId="44F2D1D6"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1D2"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4F2D1D3"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22</w:t>
            </w:r>
          </w:p>
        </w:tc>
        <w:tc>
          <w:tcPr>
            <w:tcW w:w="6313" w:type="dxa"/>
            <w:tcBorders>
              <w:top w:val="single" w:sz="5" w:space="0" w:color="000000"/>
              <w:left w:val="single" w:sz="5" w:space="0" w:color="000000"/>
              <w:bottom w:val="single" w:sz="5" w:space="0" w:color="000000"/>
              <w:right w:val="single" w:sz="5" w:space="0" w:color="000000"/>
            </w:tcBorders>
          </w:tcPr>
          <w:p w14:paraId="44F2D1D4"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4F2D1D5" w14:textId="3BF7F9B3"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9</w:t>
            </w:r>
          </w:p>
        </w:tc>
      </w:tr>
      <w:tr w:rsidR="006E5A74" w:rsidRPr="00B81D1B" w14:paraId="44F2D1D9" w14:textId="77777777" w:rsidTr="008B5BFD">
        <w:trPr>
          <w:trHeight w:val="24"/>
        </w:trPr>
        <w:tc>
          <w:tcPr>
            <w:tcW w:w="85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1D7" w14:textId="77777777" w:rsidR="006E5A74" w:rsidRPr="00B81D1B" w:rsidRDefault="006E5A74" w:rsidP="00B81D1B">
            <w:pPr>
              <w:pStyle w:val="Default"/>
              <w:rPr>
                <w:rFonts w:ascii="Times New Roman" w:hAnsi="Times New Roman" w:cs="Times New Roman"/>
              </w:rPr>
            </w:pPr>
            <w:r w:rsidRPr="00B81D1B">
              <w:rPr>
                <w:rFonts w:ascii="Times New Roman" w:hAnsi="Times New Roman" w:cs="Times New Roman"/>
                <w:b/>
                <w:bCs/>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1D8" w14:textId="77777777" w:rsidR="006E5A74" w:rsidRPr="00B81D1B" w:rsidRDefault="006E5A74" w:rsidP="00B81D1B">
            <w:pPr>
              <w:pStyle w:val="Default"/>
              <w:rPr>
                <w:rFonts w:ascii="Times New Roman" w:hAnsi="Times New Roman" w:cs="Times New Roman"/>
                <w:color w:val="auto"/>
              </w:rPr>
            </w:pPr>
          </w:p>
        </w:tc>
      </w:tr>
      <w:tr w:rsidR="006E5A74" w:rsidRPr="00B81D1B" w14:paraId="44F2D1DE" w14:textId="77777777" w:rsidTr="008B5BFD">
        <w:trPr>
          <w:trHeight w:val="48"/>
        </w:trPr>
        <w:tc>
          <w:tcPr>
            <w:tcW w:w="1668" w:type="dxa"/>
            <w:vMerge w:val="restart"/>
            <w:tcBorders>
              <w:top w:val="single" w:sz="5" w:space="0" w:color="000000"/>
              <w:left w:val="single" w:sz="5" w:space="0" w:color="000000"/>
              <w:right w:val="single" w:sz="5" w:space="0" w:color="000000"/>
            </w:tcBorders>
          </w:tcPr>
          <w:p w14:paraId="44F2D1DA"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4F2D1DB"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23a</w:t>
            </w:r>
          </w:p>
        </w:tc>
        <w:tc>
          <w:tcPr>
            <w:tcW w:w="6313" w:type="dxa"/>
            <w:tcBorders>
              <w:top w:val="single" w:sz="5" w:space="0" w:color="000000"/>
              <w:left w:val="single" w:sz="5" w:space="0" w:color="000000"/>
              <w:bottom w:val="single" w:sz="5" w:space="0" w:color="000000"/>
              <w:right w:val="single" w:sz="5" w:space="0" w:color="000000"/>
            </w:tcBorders>
          </w:tcPr>
          <w:p w14:paraId="44F2D1DC"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4F2D1DD" w14:textId="36988EC4"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 xml:space="preserve">10, </w:t>
            </w:r>
            <w:r w:rsidR="0044239E">
              <w:rPr>
                <w:rFonts w:ascii="Times New Roman" w:hAnsi="Times New Roman" w:cs="Times New Roman"/>
                <w:color w:val="auto"/>
              </w:rPr>
              <w:t>11,12</w:t>
            </w:r>
          </w:p>
        </w:tc>
      </w:tr>
      <w:tr w:rsidR="006E5A74" w:rsidRPr="00B81D1B" w14:paraId="44F2D1E3" w14:textId="77777777" w:rsidTr="008B5BFD">
        <w:trPr>
          <w:trHeight w:val="48"/>
        </w:trPr>
        <w:tc>
          <w:tcPr>
            <w:tcW w:w="1668" w:type="dxa"/>
            <w:vMerge/>
            <w:tcBorders>
              <w:left w:val="single" w:sz="5" w:space="0" w:color="000000"/>
              <w:right w:val="single" w:sz="5" w:space="0" w:color="000000"/>
            </w:tcBorders>
          </w:tcPr>
          <w:p w14:paraId="44F2D1DF"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E0"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23b</w:t>
            </w:r>
          </w:p>
        </w:tc>
        <w:tc>
          <w:tcPr>
            <w:tcW w:w="6313" w:type="dxa"/>
            <w:tcBorders>
              <w:top w:val="single" w:sz="5" w:space="0" w:color="000000"/>
              <w:left w:val="single" w:sz="5" w:space="0" w:color="000000"/>
              <w:bottom w:val="single" w:sz="5" w:space="0" w:color="000000"/>
              <w:right w:val="single" w:sz="5" w:space="0" w:color="000000"/>
            </w:tcBorders>
          </w:tcPr>
          <w:p w14:paraId="44F2D1E1"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4F2D1E2" w14:textId="2587FFEC"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12</w:t>
            </w:r>
          </w:p>
        </w:tc>
      </w:tr>
      <w:tr w:rsidR="006E5A74" w:rsidRPr="00B81D1B" w14:paraId="44F2D1E8" w14:textId="77777777" w:rsidTr="008B5BFD">
        <w:trPr>
          <w:trHeight w:val="48"/>
        </w:trPr>
        <w:tc>
          <w:tcPr>
            <w:tcW w:w="1668" w:type="dxa"/>
            <w:vMerge/>
            <w:tcBorders>
              <w:left w:val="single" w:sz="5" w:space="0" w:color="000000"/>
              <w:right w:val="single" w:sz="5" w:space="0" w:color="000000"/>
            </w:tcBorders>
          </w:tcPr>
          <w:p w14:paraId="44F2D1E4"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4" w:space="0" w:color="auto"/>
              <w:right w:val="single" w:sz="5" w:space="0" w:color="000000"/>
            </w:tcBorders>
          </w:tcPr>
          <w:p w14:paraId="44F2D1E5"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23c</w:t>
            </w:r>
          </w:p>
        </w:tc>
        <w:tc>
          <w:tcPr>
            <w:tcW w:w="6313" w:type="dxa"/>
            <w:tcBorders>
              <w:top w:val="single" w:sz="5" w:space="0" w:color="000000"/>
              <w:left w:val="single" w:sz="5" w:space="0" w:color="000000"/>
              <w:bottom w:val="single" w:sz="5" w:space="0" w:color="000000"/>
              <w:right w:val="single" w:sz="5" w:space="0" w:color="000000"/>
            </w:tcBorders>
          </w:tcPr>
          <w:p w14:paraId="44F2D1E6"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4F2D1E7" w14:textId="425AED00" w:rsidR="006E5A74" w:rsidRPr="00B81D1B" w:rsidRDefault="0001727F" w:rsidP="00B81D1B">
            <w:pPr>
              <w:pStyle w:val="Default"/>
              <w:spacing w:before="40" w:after="40"/>
              <w:rPr>
                <w:rFonts w:ascii="Times New Roman" w:hAnsi="Times New Roman" w:cs="Times New Roman"/>
                <w:color w:val="auto"/>
              </w:rPr>
            </w:pPr>
            <w:r>
              <w:rPr>
                <w:rFonts w:ascii="Times New Roman" w:hAnsi="Times New Roman" w:cs="Times New Roman"/>
                <w:color w:val="auto"/>
              </w:rPr>
              <w:t>Not applicable</w:t>
            </w:r>
          </w:p>
        </w:tc>
      </w:tr>
      <w:tr w:rsidR="006E5A74" w:rsidRPr="00B81D1B" w14:paraId="44F2D1ED" w14:textId="77777777" w:rsidTr="008B5BFD">
        <w:trPr>
          <w:trHeight w:val="48"/>
        </w:trPr>
        <w:tc>
          <w:tcPr>
            <w:tcW w:w="1668" w:type="dxa"/>
            <w:vMerge/>
            <w:tcBorders>
              <w:left w:val="single" w:sz="5" w:space="0" w:color="000000"/>
              <w:bottom w:val="single" w:sz="4" w:space="0" w:color="auto"/>
              <w:right w:val="single" w:sz="5" w:space="0" w:color="000000"/>
            </w:tcBorders>
          </w:tcPr>
          <w:p w14:paraId="44F2D1E9"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4" w:space="0" w:color="auto"/>
              <w:left w:val="single" w:sz="5" w:space="0" w:color="000000"/>
              <w:bottom w:val="single" w:sz="4" w:space="0" w:color="auto"/>
              <w:right w:val="single" w:sz="4" w:space="0" w:color="auto"/>
            </w:tcBorders>
          </w:tcPr>
          <w:p w14:paraId="44F2D1EA"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23d</w:t>
            </w:r>
          </w:p>
        </w:tc>
        <w:tc>
          <w:tcPr>
            <w:tcW w:w="6313" w:type="dxa"/>
            <w:tcBorders>
              <w:top w:val="single" w:sz="5" w:space="0" w:color="000000"/>
              <w:left w:val="single" w:sz="4" w:space="0" w:color="auto"/>
              <w:bottom w:val="double" w:sz="5" w:space="0" w:color="000000"/>
              <w:right w:val="single" w:sz="5" w:space="0" w:color="000000"/>
            </w:tcBorders>
          </w:tcPr>
          <w:p w14:paraId="44F2D1EB" w14:textId="3542E7E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Discuss </w:t>
            </w:r>
            <w:r w:rsidR="0001727F">
              <w:rPr>
                <w:rFonts w:ascii="Times New Roman" w:hAnsi="Times New Roman" w:cs="Times New Roman"/>
              </w:rPr>
              <w:t xml:space="preserve">the </w:t>
            </w:r>
            <w:r w:rsidRPr="00B81D1B">
              <w:rPr>
                <w:rFonts w:ascii="Times New Roman" w:hAnsi="Times New Roman" w:cs="Times New Roman"/>
              </w:rPr>
              <w:t>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4F2D1EC" w14:textId="319AC4F8"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12</w:t>
            </w:r>
          </w:p>
        </w:tc>
      </w:tr>
      <w:tr w:rsidR="006E5A74" w:rsidRPr="00B81D1B" w14:paraId="44F2D1F0" w14:textId="77777777" w:rsidTr="008B5BFD">
        <w:trPr>
          <w:trHeight w:val="24"/>
        </w:trPr>
        <w:tc>
          <w:tcPr>
            <w:tcW w:w="85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1EE" w14:textId="77777777" w:rsidR="006E5A74" w:rsidRPr="00B81D1B" w:rsidRDefault="006E5A74" w:rsidP="00B81D1B">
            <w:pPr>
              <w:pStyle w:val="Default"/>
              <w:rPr>
                <w:rFonts w:ascii="Times New Roman" w:hAnsi="Times New Roman" w:cs="Times New Roman"/>
              </w:rPr>
            </w:pPr>
            <w:r w:rsidRPr="00B81D1B">
              <w:rPr>
                <w:rFonts w:ascii="Times New Roman" w:hAnsi="Times New Roman" w:cs="Times New Roman"/>
                <w:b/>
                <w:bCs/>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1EF" w14:textId="77777777" w:rsidR="006E5A74" w:rsidRPr="00B81D1B" w:rsidRDefault="006E5A74" w:rsidP="00B81D1B">
            <w:pPr>
              <w:pStyle w:val="Default"/>
              <w:rPr>
                <w:rFonts w:ascii="Times New Roman" w:hAnsi="Times New Roman" w:cs="Times New Roman"/>
                <w:color w:val="auto"/>
              </w:rPr>
            </w:pPr>
          </w:p>
        </w:tc>
      </w:tr>
      <w:tr w:rsidR="006E5A74" w:rsidRPr="00B81D1B" w14:paraId="44F2D1F5" w14:textId="77777777" w:rsidTr="008B5BFD">
        <w:trPr>
          <w:trHeight w:val="48"/>
        </w:trPr>
        <w:tc>
          <w:tcPr>
            <w:tcW w:w="1668" w:type="dxa"/>
            <w:vMerge w:val="restart"/>
            <w:tcBorders>
              <w:top w:val="single" w:sz="5" w:space="0" w:color="000000"/>
              <w:left w:val="single" w:sz="5" w:space="0" w:color="000000"/>
              <w:right w:val="single" w:sz="5" w:space="0" w:color="000000"/>
            </w:tcBorders>
          </w:tcPr>
          <w:p w14:paraId="44F2D1F1"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Registration </w:t>
            </w:r>
            <w:r w:rsidRPr="00B81D1B">
              <w:rPr>
                <w:rFonts w:ascii="Times New Roman" w:hAnsi="Times New Roman" w:cs="Times New Roman"/>
              </w:rPr>
              <w:lastRenderedPageBreak/>
              <w:t>and protocol</w:t>
            </w:r>
          </w:p>
        </w:tc>
        <w:tc>
          <w:tcPr>
            <w:tcW w:w="587" w:type="dxa"/>
            <w:tcBorders>
              <w:top w:val="single" w:sz="5" w:space="0" w:color="000000"/>
              <w:left w:val="single" w:sz="5" w:space="0" w:color="000000"/>
              <w:bottom w:val="single" w:sz="5" w:space="0" w:color="000000"/>
              <w:right w:val="single" w:sz="5" w:space="0" w:color="000000"/>
            </w:tcBorders>
          </w:tcPr>
          <w:p w14:paraId="44F2D1F2"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lastRenderedPageBreak/>
              <w:t>24a</w:t>
            </w:r>
          </w:p>
        </w:tc>
        <w:tc>
          <w:tcPr>
            <w:tcW w:w="6313" w:type="dxa"/>
            <w:tcBorders>
              <w:top w:val="single" w:sz="5" w:space="0" w:color="000000"/>
              <w:left w:val="single" w:sz="5" w:space="0" w:color="000000"/>
              <w:bottom w:val="single" w:sz="5" w:space="0" w:color="000000"/>
              <w:right w:val="single" w:sz="5" w:space="0" w:color="000000"/>
            </w:tcBorders>
          </w:tcPr>
          <w:p w14:paraId="44F2D1F3"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 xml:space="preserve">Provide registration information for the review, including register name and registration number, or state that the review </w:t>
            </w:r>
            <w:r w:rsidRPr="00B81D1B">
              <w:rPr>
                <w:rFonts w:ascii="Times New Roman" w:hAnsi="Times New Roman" w:cs="Times New Roman"/>
              </w:rPr>
              <w:lastRenderedPageBreak/>
              <w:t>was not registered.</w:t>
            </w:r>
          </w:p>
        </w:tc>
        <w:tc>
          <w:tcPr>
            <w:tcW w:w="1200" w:type="dxa"/>
            <w:tcBorders>
              <w:top w:val="single" w:sz="5" w:space="0" w:color="000000"/>
              <w:left w:val="single" w:sz="5" w:space="0" w:color="000000"/>
              <w:bottom w:val="single" w:sz="5" w:space="0" w:color="000000"/>
              <w:right w:val="single" w:sz="5" w:space="0" w:color="000000"/>
            </w:tcBorders>
          </w:tcPr>
          <w:p w14:paraId="44F2D1F4" w14:textId="59BAE0DB"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lastRenderedPageBreak/>
              <w:t>5</w:t>
            </w:r>
          </w:p>
        </w:tc>
      </w:tr>
      <w:tr w:rsidR="006E5A74" w:rsidRPr="00B81D1B" w14:paraId="44F2D1FA" w14:textId="77777777" w:rsidTr="008B5BFD">
        <w:trPr>
          <w:trHeight w:val="57"/>
        </w:trPr>
        <w:tc>
          <w:tcPr>
            <w:tcW w:w="1668" w:type="dxa"/>
            <w:vMerge/>
            <w:tcBorders>
              <w:left w:val="single" w:sz="5" w:space="0" w:color="000000"/>
              <w:right w:val="single" w:sz="5" w:space="0" w:color="000000"/>
            </w:tcBorders>
          </w:tcPr>
          <w:p w14:paraId="44F2D1F6"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F7"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24b</w:t>
            </w:r>
          </w:p>
        </w:tc>
        <w:tc>
          <w:tcPr>
            <w:tcW w:w="6313" w:type="dxa"/>
            <w:tcBorders>
              <w:top w:val="single" w:sz="5" w:space="0" w:color="000000"/>
              <w:left w:val="single" w:sz="5" w:space="0" w:color="000000"/>
              <w:bottom w:val="single" w:sz="5" w:space="0" w:color="000000"/>
              <w:right w:val="single" w:sz="5" w:space="0" w:color="000000"/>
            </w:tcBorders>
          </w:tcPr>
          <w:p w14:paraId="44F2D1F8"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4F2D1F9" w14:textId="51ACE5FF" w:rsidR="006E5A74" w:rsidRPr="00B81D1B" w:rsidRDefault="004F35E2" w:rsidP="00B81D1B">
            <w:pPr>
              <w:pStyle w:val="Default"/>
              <w:spacing w:before="40" w:after="40"/>
              <w:rPr>
                <w:rFonts w:ascii="Times New Roman" w:hAnsi="Times New Roman" w:cs="Times New Roman"/>
                <w:color w:val="auto"/>
              </w:rPr>
            </w:pPr>
            <w:r>
              <w:rPr>
                <w:rFonts w:ascii="Times New Roman" w:hAnsi="Times New Roman" w:cs="Times New Roman"/>
                <w:color w:val="auto"/>
              </w:rPr>
              <w:t>5</w:t>
            </w:r>
          </w:p>
        </w:tc>
      </w:tr>
      <w:tr w:rsidR="006E5A74" w:rsidRPr="00B81D1B" w14:paraId="44F2D1FF" w14:textId="77777777" w:rsidTr="008B5BFD">
        <w:trPr>
          <w:trHeight w:val="48"/>
        </w:trPr>
        <w:tc>
          <w:tcPr>
            <w:tcW w:w="1668" w:type="dxa"/>
            <w:vMerge/>
            <w:tcBorders>
              <w:left w:val="single" w:sz="5" w:space="0" w:color="000000"/>
              <w:bottom w:val="single" w:sz="5" w:space="0" w:color="000000"/>
              <w:right w:val="single" w:sz="5" w:space="0" w:color="000000"/>
            </w:tcBorders>
          </w:tcPr>
          <w:p w14:paraId="44F2D1FB" w14:textId="77777777" w:rsidR="006E5A74" w:rsidRPr="00B81D1B" w:rsidRDefault="006E5A74" w:rsidP="00B81D1B">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F2D1FC"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24c</w:t>
            </w:r>
          </w:p>
        </w:tc>
        <w:tc>
          <w:tcPr>
            <w:tcW w:w="6313" w:type="dxa"/>
            <w:tcBorders>
              <w:top w:val="single" w:sz="5" w:space="0" w:color="000000"/>
              <w:left w:val="single" w:sz="5" w:space="0" w:color="000000"/>
              <w:bottom w:val="single" w:sz="5" w:space="0" w:color="000000"/>
              <w:right w:val="single" w:sz="5" w:space="0" w:color="000000"/>
            </w:tcBorders>
          </w:tcPr>
          <w:p w14:paraId="44F2D1FD"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4F2D1FE" w14:textId="77777777" w:rsidR="006E5A74" w:rsidRPr="00B81D1B" w:rsidRDefault="004B65D3"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Not applicable</w:t>
            </w:r>
          </w:p>
        </w:tc>
      </w:tr>
      <w:tr w:rsidR="006E5A74" w:rsidRPr="00B81D1B" w14:paraId="44F2D204"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200"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Support</w:t>
            </w:r>
          </w:p>
        </w:tc>
        <w:tc>
          <w:tcPr>
            <w:tcW w:w="587" w:type="dxa"/>
            <w:tcBorders>
              <w:top w:val="single" w:sz="5" w:space="0" w:color="000000"/>
              <w:left w:val="single" w:sz="5" w:space="0" w:color="000000"/>
              <w:bottom w:val="single" w:sz="5" w:space="0" w:color="000000"/>
              <w:right w:val="single" w:sz="5" w:space="0" w:color="000000"/>
            </w:tcBorders>
          </w:tcPr>
          <w:p w14:paraId="44F2D201"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25</w:t>
            </w:r>
          </w:p>
        </w:tc>
        <w:tc>
          <w:tcPr>
            <w:tcW w:w="6313" w:type="dxa"/>
            <w:tcBorders>
              <w:top w:val="single" w:sz="5" w:space="0" w:color="000000"/>
              <w:left w:val="single" w:sz="5" w:space="0" w:color="000000"/>
              <w:bottom w:val="single" w:sz="5" w:space="0" w:color="000000"/>
              <w:right w:val="single" w:sz="5" w:space="0" w:color="000000"/>
            </w:tcBorders>
          </w:tcPr>
          <w:p w14:paraId="44F2D202"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44F2D203" w14:textId="1088D8B2" w:rsidR="006E5A74" w:rsidRPr="00B81D1B" w:rsidRDefault="0001727F" w:rsidP="00B81D1B">
            <w:pPr>
              <w:pStyle w:val="Default"/>
              <w:spacing w:before="40" w:after="40"/>
              <w:rPr>
                <w:rFonts w:ascii="Times New Roman" w:hAnsi="Times New Roman" w:cs="Times New Roman"/>
                <w:color w:val="auto"/>
              </w:rPr>
            </w:pPr>
            <w:r>
              <w:rPr>
                <w:rFonts w:ascii="Times New Roman" w:hAnsi="Times New Roman" w:cs="Times New Roman"/>
                <w:color w:val="auto"/>
              </w:rPr>
              <w:t>Nil</w:t>
            </w:r>
          </w:p>
        </w:tc>
      </w:tr>
      <w:tr w:rsidR="006E5A74" w:rsidRPr="00B81D1B" w14:paraId="44F2D209" w14:textId="77777777" w:rsidTr="008B5BFD">
        <w:trPr>
          <w:trHeight w:val="48"/>
        </w:trPr>
        <w:tc>
          <w:tcPr>
            <w:tcW w:w="1668" w:type="dxa"/>
            <w:tcBorders>
              <w:top w:val="single" w:sz="5" w:space="0" w:color="000000"/>
              <w:left w:val="single" w:sz="5" w:space="0" w:color="000000"/>
              <w:bottom w:val="single" w:sz="5" w:space="0" w:color="000000"/>
              <w:right w:val="single" w:sz="5" w:space="0" w:color="000000"/>
            </w:tcBorders>
          </w:tcPr>
          <w:p w14:paraId="44F2D205"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4F2D206"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26</w:t>
            </w:r>
          </w:p>
        </w:tc>
        <w:tc>
          <w:tcPr>
            <w:tcW w:w="6313" w:type="dxa"/>
            <w:tcBorders>
              <w:top w:val="single" w:sz="5" w:space="0" w:color="000000"/>
              <w:left w:val="single" w:sz="5" w:space="0" w:color="000000"/>
              <w:bottom w:val="single" w:sz="5" w:space="0" w:color="000000"/>
              <w:right w:val="single" w:sz="5" w:space="0" w:color="000000"/>
            </w:tcBorders>
          </w:tcPr>
          <w:p w14:paraId="44F2D207"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4F2D208" w14:textId="34AD9FCE" w:rsidR="006E5A74" w:rsidRPr="00B81D1B" w:rsidRDefault="00110AAB" w:rsidP="00B81D1B">
            <w:pPr>
              <w:pStyle w:val="Default"/>
              <w:spacing w:before="40" w:after="40"/>
              <w:rPr>
                <w:rFonts w:ascii="Times New Roman" w:hAnsi="Times New Roman" w:cs="Times New Roman"/>
                <w:color w:val="auto"/>
              </w:rPr>
            </w:pPr>
            <w:r>
              <w:rPr>
                <w:rFonts w:ascii="Times New Roman" w:hAnsi="Times New Roman" w:cs="Times New Roman"/>
                <w:color w:val="auto"/>
              </w:rPr>
              <w:t>Nil</w:t>
            </w:r>
          </w:p>
        </w:tc>
      </w:tr>
      <w:tr w:rsidR="006E5A74" w:rsidRPr="00B81D1B" w14:paraId="44F2D20E" w14:textId="77777777" w:rsidTr="00AF1295">
        <w:trPr>
          <w:trHeight w:val="219"/>
        </w:trPr>
        <w:tc>
          <w:tcPr>
            <w:tcW w:w="1668" w:type="dxa"/>
            <w:tcBorders>
              <w:top w:val="single" w:sz="5" w:space="0" w:color="000000"/>
              <w:left w:val="single" w:sz="5" w:space="0" w:color="000000"/>
              <w:bottom w:val="double" w:sz="5" w:space="0" w:color="000000"/>
              <w:right w:val="single" w:sz="5" w:space="0" w:color="000000"/>
            </w:tcBorders>
          </w:tcPr>
          <w:p w14:paraId="44F2D20A"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4F2D20B"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27</w:t>
            </w:r>
          </w:p>
        </w:tc>
        <w:tc>
          <w:tcPr>
            <w:tcW w:w="6313" w:type="dxa"/>
            <w:tcBorders>
              <w:top w:val="single" w:sz="5" w:space="0" w:color="000000"/>
              <w:left w:val="single" w:sz="5" w:space="0" w:color="000000"/>
              <w:bottom w:val="double" w:sz="5" w:space="0" w:color="000000"/>
              <w:right w:val="single" w:sz="5" w:space="0" w:color="000000"/>
            </w:tcBorders>
          </w:tcPr>
          <w:p w14:paraId="44F2D20C" w14:textId="77777777" w:rsidR="006E5A74" w:rsidRPr="00B81D1B" w:rsidRDefault="006E5A74" w:rsidP="00B81D1B">
            <w:pPr>
              <w:pStyle w:val="Default"/>
              <w:spacing w:before="40" w:after="40"/>
              <w:rPr>
                <w:rFonts w:ascii="Times New Roman" w:hAnsi="Times New Roman" w:cs="Times New Roman"/>
              </w:rPr>
            </w:pPr>
            <w:r w:rsidRPr="00B81D1B">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vAlign w:val="center"/>
          </w:tcPr>
          <w:p w14:paraId="44F2D20D" w14:textId="0C3EE626" w:rsidR="006E5A74" w:rsidRPr="00B81D1B" w:rsidRDefault="00AF1295" w:rsidP="00AF1295">
            <w:pPr>
              <w:pStyle w:val="Default"/>
              <w:spacing w:before="40" w:after="40"/>
              <w:jc w:val="center"/>
              <w:rPr>
                <w:rFonts w:ascii="Times New Roman" w:hAnsi="Times New Roman" w:cs="Times New Roman"/>
                <w:color w:val="auto"/>
              </w:rPr>
            </w:pPr>
            <w:r w:rsidRPr="00B81D1B">
              <w:rPr>
                <w:rFonts w:ascii="Times New Roman" w:hAnsi="Times New Roman" w:cs="Times New Roman"/>
                <w:color w:val="auto"/>
              </w:rPr>
              <w:t>Not applicable</w:t>
            </w:r>
          </w:p>
        </w:tc>
      </w:tr>
    </w:tbl>
    <w:p w14:paraId="44F2D20F" w14:textId="77777777" w:rsidR="006E5A74" w:rsidRPr="00B81D1B" w:rsidRDefault="006E5A74" w:rsidP="00B81D1B">
      <w:pPr>
        <w:rPr>
          <w:rFonts w:ascii="Times New Roman" w:hAnsi="Times New Roman" w:cs="Times New Roman"/>
          <w:color w:val="0D0D0D" w:themeColor="text1" w:themeTint="F2"/>
          <w:sz w:val="24"/>
          <w:szCs w:val="24"/>
        </w:rPr>
      </w:pPr>
    </w:p>
    <w:p w14:paraId="44F2D210" w14:textId="77777777" w:rsidR="0014319A" w:rsidRPr="00B81D1B" w:rsidRDefault="0014319A" w:rsidP="00B81D1B">
      <w:pPr>
        <w:rPr>
          <w:rFonts w:ascii="Times New Roman" w:hAnsi="Times New Roman" w:cs="Times New Roman"/>
          <w:b/>
          <w:color w:val="0D0D0D" w:themeColor="text1" w:themeTint="F2"/>
          <w:sz w:val="24"/>
          <w:szCs w:val="24"/>
          <w:u w:val="single"/>
        </w:rPr>
      </w:pPr>
      <w:r w:rsidRPr="00B81D1B">
        <w:rPr>
          <w:rFonts w:ascii="Times New Roman" w:hAnsi="Times New Roman" w:cs="Times New Roman"/>
          <w:b/>
          <w:color w:val="0D0D0D" w:themeColor="text1" w:themeTint="F2"/>
          <w:sz w:val="24"/>
          <w:szCs w:val="24"/>
          <w:u w:val="single"/>
        </w:rPr>
        <w:br w:type="page"/>
      </w:r>
    </w:p>
    <w:p w14:paraId="44F2D211" w14:textId="4BD220A5" w:rsidR="0014319A" w:rsidRPr="00283B27" w:rsidRDefault="0014319A" w:rsidP="00B81D1B">
      <w:pPr>
        <w:rPr>
          <w:rFonts w:ascii="Times New Roman" w:hAnsi="Times New Roman" w:cs="Times New Roman"/>
          <w:b/>
          <w:color w:val="0D0D0D" w:themeColor="text1" w:themeTint="F2"/>
          <w:sz w:val="24"/>
          <w:szCs w:val="24"/>
        </w:rPr>
      </w:pPr>
      <w:r w:rsidRPr="00283B27">
        <w:rPr>
          <w:rFonts w:ascii="Times New Roman" w:hAnsi="Times New Roman" w:cs="Times New Roman"/>
          <w:b/>
          <w:color w:val="0D0D0D" w:themeColor="text1" w:themeTint="F2"/>
          <w:sz w:val="24"/>
          <w:szCs w:val="24"/>
          <w:u w:val="single"/>
        </w:rPr>
        <w:lastRenderedPageBreak/>
        <w:t>Table S1</w:t>
      </w:r>
      <w:r w:rsidR="00A50279">
        <w:rPr>
          <w:rFonts w:ascii="Times New Roman" w:hAnsi="Times New Roman" w:cs="Times New Roman"/>
          <w:b/>
          <w:color w:val="0D0D0D" w:themeColor="text1" w:themeTint="F2"/>
          <w:sz w:val="24"/>
          <w:szCs w:val="24"/>
          <w:u w:val="single"/>
        </w:rPr>
        <w:t>b</w:t>
      </w:r>
      <w:r w:rsidRPr="00283B27">
        <w:rPr>
          <w:rFonts w:ascii="Times New Roman" w:hAnsi="Times New Roman" w:cs="Times New Roman"/>
          <w:b/>
          <w:color w:val="0D0D0D" w:themeColor="text1" w:themeTint="F2"/>
          <w:sz w:val="24"/>
          <w:szCs w:val="24"/>
          <w:u w:val="single"/>
        </w:rPr>
        <w:t>: PRISMA 2020 Abstract Checklist</w:t>
      </w:r>
    </w:p>
    <w:tbl>
      <w:tblPr>
        <w:tblW w:w="9678" w:type="dxa"/>
        <w:tblBorders>
          <w:top w:val="nil"/>
          <w:left w:val="nil"/>
          <w:bottom w:val="nil"/>
          <w:right w:val="nil"/>
        </w:tblBorders>
        <w:tblLook w:val="0000" w:firstRow="0" w:lastRow="0" w:firstColumn="0" w:lastColumn="0" w:noHBand="0" w:noVBand="0"/>
      </w:tblPr>
      <w:tblGrid>
        <w:gridCol w:w="2518"/>
        <w:gridCol w:w="709"/>
        <w:gridCol w:w="5251"/>
        <w:gridCol w:w="1200"/>
      </w:tblGrid>
      <w:tr w:rsidR="0014319A" w:rsidRPr="00B81D1B" w14:paraId="44F2D216" w14:textId="77777777" w:rsidTr="0048562E">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4F2D212" w14:textId="77777777" w:rsidR="0014319A" w:rsidRPr="00B81D1B" w:rsidRDefault="0014319A" w:rsidP="00B81D1B">
            <w:pPr>
              <w:pStyle w:val="Default"/>
              <w:rPr>
                <w:rFonts w:ascii="Times New Roman" w:hAnsi="Times New Roman" w:cs="Times New Roman"/>
                <w:color w:val="FFFFFF"/>
              </w:rPr>
            </w:pPr>
            <w:r w:rsidRPr="00B81D1B">
              <w:rPr>
                <w:rFonts w:ascii="Times New Roman" w:hAnsi="Times New Roman" w:cs="Times New Roman"/>
                <w:b/>
                <w:bCs/>
                <w:color w:val="FFFFFF"/>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4F2D213" w14:textId="77777777" w:rsidR="0014319A" w:rsidRPr="00B81D1B" w:rsidRDefault="0014319A" w:rsidP="00B81D1B">
            <w:pPr>
              <w:pStyle w:val="Default"/>
              <w:rPr>
                <w:rFonts w:ascii="Times New Roman" w:hAnsi="Times New Roman" w:cs="Times New Roman"/>
                <w:b/>
                <w:bCs/>
                <w:color w:val="FFFFFF"/>
              </w:rPr>
            </w:pPr>
            <w:r w:rsidRPr="00B81D1B">
              <w:rPr>
                <w:rFonts w:ascii="Times New Roman" w:hAnsi="Times New Roman" w:cs="Times New Roman"/>
                <w:b/>
                <w:bCs/>
                <w:color w:val="FFFFFF"/>
              </w:rPr>
              <w:t>Item #</w:t>
            </w:r>
          </w:p>
        </w:tc>
        <w:tc>
          <w:tcPr>
            <w:tcW w:w="525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F2D214" w14:textId="77777777" w:rsidR="0014319A" w:rsidRPr="00B81D1B" w:rsidRDefault="0014319A" w:rsidP="00B81D1B">
            <w:pPr>
              <w:pStyle w:val="Default"/>
              <w:rPr>
                <w:rFonts w:ascii="Times New Roman" w:hAnsi="Times New Roman" w:cs="Times New Roman"/>
                <w:color w:val="FFFFFF"/>
              </w:rPr>
            </w:pPr>
            <w:r w:rsidRPr="00B81D1B">
              <w:rPr>
                <w:rFonts w:ascii="Times New Roman" w:hAnsi="Times New Roman" w:cs="Times New Roman"/>
                <w:b/>
                <w:bCs/>
                <w:color w:val="FFFFFF"/>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F2D215" w14:textId="77777777" w:rsidR="0014319A" w:rsidRPr="00B81D1B" w:rsidRDefault="0014319A" w:rsidP="00B81D1B">
            <w:pPr>
              <w:pStyle w:val="Default"/>
              <w:rPr>
                <w:rFonts w:ascii="Times New Roman" w:hAnsi="Times New Roman" w:cs="Times New Roman"/>
                <w:color w:val="FFFFFF"/>
              </w:rPr>
            </w:pPr>
            <w:r w:rsidRPr="00B81D1B">
              <w:rPr>
                <w:rFonts w:ascii="Times New Roman" w:hAnsi="Times New Roman" w:cs="Times New Roman"/>
                <w:b/>
                <w:bCs/>
                <w:color w:val="FFFFFF"/>
              </w:rPr>
              <w:t xml:space="preserve">Reported (Yes/No) </w:t>
            </w:r>
          </w:p>
        </w:tc>
      </w:tr>
      <w:tr w:rsidR="0014319A" w:rsidRPr="00B81D1B" w14:paraId="44F2D219" w14:textId="77777777" w:rsidTr="0048562E">
        <w:trPr>
          <w:trHeight w:val="24"/>
        </w:trPr>
        <w:tc>
          <w:tcPr>
            <w:tcW w:w="84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217" w14:textId="77777777" w:rsidR="0014319A" w:rsidRPr="00B81D1B" w:rsidRDefault="0014319A" w:rsidP="00B81D1B">
            <w:pPr>
              <w:pStyle w:val="Default"/>
              <w:rPr>
                <w:rFonts w:ascii="Times New Roman" w:hAnsi="Times New Roman" w:cs="Times New Roman"/>
              </w:rPr>
            </w:pPr>
            <w:r w:rsidRPr="00B81D1B">
              <w:rPr>
                <w:rFonts w:ascii="Times New Roman" w:hAnsi="Times New Roman" w:cs="Times New Roman"/>
                <w:b/>
                <w:bCs/>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218" w14:textId="77777777" w:rsidR="0014319A" w:rsidRPr="00B81D1B" w:rsidRDefault="0014319A" w:rsidP="00B81D1B">
            <w:pPr>
              <w:pStyle w:val="Default"/>
              <w:rPr>
                <w:rFonts w:ascii="Times New Roman" w:hAnsi="Times New Roman" w:cs="Times New Roman"/>
                <w:color w:val="auto"/>
              </w:rPr>
            </w:pPr>
          </w:p>
        </w:tc>
      </w:tr>
      <w:tr w:rsidR="0014319A" w:rsidRPr="00B81D1B" w14:paraId="44F2D21E" w14:textId="77777777" w:rsidTr="0048562E">
        <w:trPr>
          <w:trHeight w:val="48"/>
        </w:trPr>
        <w:tc>
          <w:tcPr>
            <w:tcW w:w="2518" w:type="dxa"/>
            <w:tcBorders>
              <w:top w:val="single" w:sz="5" w:space="0" w:color="000000"/>
              <w:left w:val="single" w:sz="5" w:space="0" w:color="000000"/>
              <w:bottom w:val="double" w:sz="2" w:space="0" w:color="FFFFCC"/>
              <w:right w:val="single" w:sz="5" w:space="0" w:color="000000"/>
            </w:tcBorders>
          </w:tcPr>
          <w:p w14:paraId="44F2D21A"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44F2D21B"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1</w:t>
            </w:r>
          </w:p>
        </w:tc>
        <w:tc>
          <w:tcPr>
            <w:tcW w:w="5251" w:type="dxa"/>
            <w:tcBorders>
              <w:top w:val="single" w:sz="5" w:space="0" w:color="000000"/>
              <w:left w:val="single" w:sz="5" w:space="0" w:color="000000"/>
              <w:bottom w:val="double" w:sz="5" w:space="0" w:color="000000"/>
              <w:right w:val="single" w:sz="5" w:space="0" w:color="000000"/>
            </w:tcBorders>
          </w:tcPr>
          <w:p w14:paraId="44F2D21C"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4F2D21D"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Yes</w:t>
            </w:r>
          </w:p>
        </w:tc>
      </w:tr>
      <w:tr w:rsidR="0014319A" w:rsidRPr="00B81D1B" w14:paraId="44F2D221" w14:textId="77777777" w:rsidTr="0048562E">
        <w:trPr>
          <w:trHeight w:val="24"/>
        </w:trPr>
        <w:tc>
          <w:tcPr>
            <w:tcW w:w="84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21F" w14:textId="77777777" w:rsidR="0014319A" w:rsidRPr="00B81D1B" w:rsidRDefault="0014319A" w:rsidP="00B81D1B">
            <w:pPr>
              <w:pStyle w:val="Default"/>
              <w:rPr>
                <w:rFonts w:ascii="Times New Roman" w:hAnsi="Times New Roman" w:cs="Times New Roman"/>
              </w:rPr>
            </w:pPr>
            <w:r w:rsidRPr="00B81D1B">
              <w:rPr>
                <w:rFonts w:ascii="Times New Roman" w:hAnsi="Times New Roman" w:cs="Times New Roman"/>
                <w:b/>
                <w:bCs/>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220" w14:textId="77777777" w:rsidR="0014319A" w:rsidRPr="00B81D1B" w:rsidRDefault="0014319A" w:rsidP="00B81D1B">
            <w:pPr>
              <w:pStyle w:val="Default"/>
              <w:rPr>
                <w:rFonts w:ascii="Times New Roman" w:hAnsi="Times New Roman" w:cs="Times New Roman"/>
                <w:color w:val="auto"/>
              </w:rPr>
            </w:pPr>
          </w:p>
        </w:tc>
      </w:tr>
      <w:tr w:rsidR="0014319A" w:rsidRPr="00B81D1B" w14:paraId="44F2D226" w14:textId="77777777" w:rsidTr="0048562E">
        <w:trPr>
          <w:trHeight w:val="48"/>
        </w:trPr>
        <w:tc>
          <w:tcPr>
            <w:tcW w:w="2518" w:type="dxa"/>
            <w:tcBorders>
              <w:top w:val="single" w:sz="5" w:space="0" w:color="000000"/>
              <w:left w:val="single" w:sz="5" w:space="0" w:color="000000"/>
              <w:bottom w:val="double" w:sz="2" w:space="0" w:color="FFFFCC"/>
              <w:right w:val="single" w:sz="5" w:space="0" w:color="000000"/>
            </w:tcBorders>
          </w:tcPr>
          <w:p w14:paraId="44F2D222"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44F2D223"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2</w:t>
            </w:r>
          </w:p>
        </w:tc>
        <w:tc>
          <w:tcPr>
            <w:tcW w:w="5251" w:type="dxa"/>
            <w:tcBorders>
              <w:top w:val="single" w:sz="5" w:space="0" w:color="000000"/>
              <w:left w:val="single" w:sz="5" w:space="0" w:color="000000"/>
              <w:bottom w:val="double" w:sz="5" w:space="0" w:color="000000"/>
              <w:right w:val="single" w:sz="5" w:space="0" w:color="000000"/>
            </w:tcBorders>
          </w:tcPr>
          <w:p w14:paraId="44F2D224"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4F2D225"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Yes</w:t>
            </w:r>
          </w:p>
        </w:tc>
      </w:tr>
      <w:tr w:rsidR="0014319A" w:rsidRPr="00B81D1B" w14:paraId="44F2D229" w14:textId="77777777" w:rsidTr="0048562E">
        <w:trPr>
          <w:trHeight w:val="24"/>
        </w:trPr>
        <w:tc>
          <w:tcPr>
            <w:tcW w:w="84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227" w14:textId="77777777" w:rsidR="0014319A" w:rsidRPr="00B81D1B" w:rsidRDefault="0014319A" w:rsidP="00B81D1B">
            <w:pPr>
              <w:pStyle w:val="Default"/>
              <w:rPr>
                <w:rFonts w:ascii="Times New Roman" w:hAnsi="Times New Roman" w:cs="Times New Roman"/>
              </w:rPr>
            </w:pPr>
            <w:r w:rsidRPr="00B81D1B">
              <w:rPr>
                <w:rFonts w:ascii="Times New Roman" w:hAnsi="Times New Roman" w:cs="Times New Roman"/>
                <w:b/>
                <w:bCs/>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228" w14:textId="77777777" w:rsidR="0014319A" w:rsidRPr="00B81D1B" w:rsidRDefault="0014319A" w:rsidP="00B81D1B">
            <w:pPr>
              <w:pStyle w:val="Default"/>
              <w:rPr>
                <w:rFonts w:ascii="Times New Roman" w:hAnsi="Times New Roman" w:cs="Times New Roman"/>
                <w:color w:val="auto"/>
              </w:rPr>
            </w:pPr>
          </w:p>
        </w:tc>
      </w:tr>
      <w:tr w:rsidR="0014319A" w:rsidRPr="00B81D1B" w14:paraId="44F2D22E" w14:textId="77777777" w:rsidTr="0048562E">
        <w:trPr>
          <w:trHeight w:val="48"/>
        </w:trPr>
        <w:tc>
          <w:tcPr>
            <w:tcW w:w="2518" w:type="dxa"/>
            <w:tcBorders>
              <w:top w:val="single" w:sz="5" w:space="0" w:color="000000"/>
              <w:left w:val="single" w:sz="5" w:space="0" w:color="000000"/>
              <w:bottom w:val="single" w:sz="5" w:space="0" w:color="000000"/>
              <w:right w:val="single" w:sz="5" w:space="0" w:color="000000"/>
            </w:tcBorders>
          </w:tcPr>
          <w:p w14:paraId="44F2D22A"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44F2D22B"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3</w:t>
            </w:r>
          </w:p>
        </w:tc>
        <w:tc>
          <w:tcPr>
            <w:tcW w:w="5251" w:type="dxa"/>
            <w:tcBorders>
              <w:top w:val="single" w:sz="5" w:space="0" w:color="000000"/>
              <w:left w:val="single" w:sz="5" w:space="0" w:color="000000"/>
              <w:bottom w:val="single" w:sz="5" w:space="0" w:color="000000"/>
              <w:right w:val="single" w:sz="5" w:space="0" w:color="000000"/>
            </w:tcBorders>
          </w:tcPr>
          <w:p w14:paraId="44F2D22C"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44F2D22D"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Yes</w:t>
            </w:r>
          </w:p>
        </w:tc>
      </w:tr>
      <w:tr w:rsidR="0014319A" w:rsidRPr="00B81D1B" w14:paraId="44F2D233" w14:textId="77777777" w:rsidTr="0048562E">
        <w:trPr>
          <w:trHeight w:val="191"/>
        </w:trPr>
        <w:tc>
          <w:tcPr>
            <w:tcW w:w="2518" w:type="dxa"/>
            <w:tcBorders>
              <w:top w:val="single" w:sz="5" w:space="0" w:color="000000"/>
              <w:left w:val="single" w:sz="5" w:space="0" w:color="000000"/>
              <w:bottom w:val="single" w:sz="5" w:space="0" w:color="000000"/>
              <w:right w:val="single" w:sz="5" w:space="0" w:color="000000"/>
            </w:tcBorders>
          </w:tcPr>
          <w:p w14:paraId="44F2D22F"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44F2D230"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4</w:t>
            </w:r>
          </w:p>
        </w:tc>
        <w:tc>
          <w:tcPr>
            <w:tcW w:w="5251" w:type="dxa"/>
            <w:tcBorders>
              <w:top w:val="single" w:sz="5" w:space="0" w:color="000000"/>
              <w:left w:val="single" w:sz="5" w:space="0" w:color="000000"/>
              <w:bottom w:val="single" w:sz="5" w:space="0" w:color="000000"/>
              <w:right w:val="single" w:sz="5" w:space="0" w:color="000000"/>
            </w:tcBorders>
          </w:tcPr>
          <w:p w14:paraId="44F2D231"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44F2D232"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Yes</w:t>
            </w:r>
          </w:p>
        </w:tc>
      </w:tr>
      <w:tr w:rsidR="0014319A" w:rsidRPr="00B81D1B" w14:paraId="44F2D238" w14:textId="77777777" w:rsidTr="0048562E">
        <w:trPr>
          <w:trHeight w:val="48"/>
        </w:trPr>
        <w:tc>
          <w:tcPr>
            <w:tcW w:w="2518" w:type="dxa"/>
            <w:tcBorders>
              <w:top w:val="single" w:sz="5" w:space="0" w:color="000000"/>
              <w:left w:val="single" w:sz="5" w:space="0" w:color="000000"/>
              <w:bottom w:val="single" w:sz="5" w:space="0" w:color="000000"/>
              <w:right w:val="single" w:sz="5" w:space="0" w:color="000000"/>
            </w:tcBorders>
          </w:tcPr>
          <w:p w14:paraId="44F2D234"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Risk of bias</w:t>
            </w:r>
          </w:p>
        </w:tc>
        <w:tc>
          <w:tcPr>
            <w:tcW w:w="709" w:type="dxa"/>
            <w:tcBorders>
              <w:top w:val="single" w:sz="5" w:space="0" w:color="000000"/>
              <w:left w:val="single" w:sz="5" w:space="0" w:color="000000"/>
              <w:bottom w:val="single" w:sz="5" w:space="0" w:color="000000"/>
              <w:right w:val="single" w:sz="5" w:space="0" w:color="000000"/>
            </w:tcBorders>
          </w:tcPr>
          <w:p w14:paraId="44F2D235"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5</w:t>
            </w:r>
          </w:p>
        </w:tc>
        <w:tc>
          <w:tcPr>
            <w:tcW w:w="5251" w:type="dxa"/>
            <w:tcBorders>
              <w:top w:val="single" w:sz="5" w:space="0" w:color="000000"/>
              <w:left w:val="single" w:sz="5" w:space="0" w:color="000000"/>
              <w:bottom w:val="single" w:sz="5" w:space="0" w:color="000000"/>
              <w:right w:val="single" w:sz="5" w:space="0" w:color="000000"/>
            </w:tcBorders>
          </w:tcPr>
          <w:p w14:paraId="44F2D236"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44F2D237"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Yes</w:t>
            </w:r>
          </w:p>
        </w:tc>
      </w:tr>
      <w:tr w:rsidR="0014319A" w:rsidRPr="00B81D1B" w14:paraId="44F2D23D" w14:textId="77777777" w:rsidTr="0048562E">
        <w:trPr>
          <w:trHeight w:val="48"/>
        </w:trPr>
        <w:tc>
          <w:tcPr>
            <w:tcW w:w="2518" w:type="dxa"/>
            <w:tcBorders>
              <w:top w:val="single" w:sz="5" w:space="0" w:color="000000"/>
              <w:left w:val="single" w:sz="5" w:space="0" w:color="000000"/>
              <w:bottom w:val="single" w:sz="5" w:space="0" w:color="000000"/>
              <w:right w:val="single" w:sz="5" w:space="0" w:color="000000"/>
            </w:tcBorders>
          </w:tcPr>
          <w:p w14:paraId="44F2D239"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44F2D23A"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6</w:t>
            </w:r>
          </w:p>
        </w:tc>
        <w:tc>
          <w:tcPr>
            <w:tcW w:w="5251" w:type="dxa"/>
            <w:tcBorders>
              <w:top w:val="single" w:sz="5" w:space="0" w:color="000000"/>
              <w:left w:val="single" w:sz="5" w:space="0" w:color="000000"/>
              <w:bottom w:val="single" w:sz="5" w:space="0" w:color="000000"/>
              <w:right w:val="single" w:sz="5" w:space="0" w:color="000000"/>
            </w:tcBorders>
          </w:tcPr>
          <w:p w14:paraId="44F2D23B"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44F2D23C"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Yes</w:t>
            </w:r>
          </w:p>
        </w:tc>
      </w:tr>
      <w:tr w:rsidR="0014319A" w:rsidRPr="00B81D1B" w14:paraId="44F2D240" w14:textId="77777777" w:rsidTr="0048562E">
        <w:trPr>
          <w:trHeight w:val="24"/>
        </w:trPr>
        <w:tc>
          <w:tcPr>
            <w:tcW w:w="84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23E" w14:textId="77777777" w:rsidR="0014319A" w:rsidRPr="00B81D1B" w:rsidRDefault="0014319A" w:rsidP="00B81D1B">
            <w:pPr>
              <w:pStyle w:val="Default"/>
              <w:rPr>
                <w:rFonts w:ascii="Times New Roman" w:hAnsi="Times New Roman" w:cs="Times New Roman"/>
              </w:rPr>
            </w:pPr>
            <w:r w:rsidRPr="00B81D1B">
              <w:rPr>
                <w:rFonts w:ascii="Times New Roman" w:hAnsi="Times New Roman" w:cs="Times New Roman"/>
                <w:b/>
                <w:bCs/>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23F" w14:textId="77777777" w:rsidR="0014319A" w:rsidRPr="00B81D1B" w:rsidRDefault="0014319A" w:rsidP="00B81D1B">
            <w:pPr>
              <w:pStyle w:val="Default"/>
              <w:rPr>
                <w:rFonts w:ascii="Times New Roman" w:hAnsi="Times New Roman" w:cs="Times New Roman"/>
                <w:color w:val="auto"/>
              </w:rPr>
            </w:pPr>
          </w:p>
        </w:tc>
      </w:tr>
      <w:tr w:rsidR="0014319A" w:rsidRPr="00B81D1B" w14:paraId="44F2D245" w14:textId="77777777" w:rsidTr="0048562E">
        <w:trPr>
          <w:trHeight w:val="103"/>
        </w:trPr>
        <w:tc>
          <w:tcPr>
            <w:tcW w:w="2518" w:type="dxa"/>
            <w:tcBorders>
              <w:top w:val="single" w:sz="5" w:space="0" w:color="000000"/>
              <w:left w:val="single" w:sz="5" w:space="0" w:color="000000"/>
              <w:bottom w:val="single" w:sz="5" w:space="0" w:color="000000"/>
              <w:right w:val="single" w:sz="5" w:space="0" w:color="000000"/>
            </w:tcBorders>
          </w:tcPr>
          <w:p w14:paraId="44F2D241"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44F2D242"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7</w:t>
            </w:r>
          </w:p>
        </w:tc>
        <w:tc>
          <w:tcPr>
            <w:tcW w:w="5251" w:type="dxa"/>
            <w:tcBorders>
              <w:top w:val="single" w:sz="5" w:space="0" w:color="000000"/>
              <w:left w:val="single" w:sz="5" w:space="0" w:color="000000"/>
              <w:bottom w:val="single" w:sz="5" w:space="0" w:color="000000"/>
              <w:right w:val="single" w:sz="5" w:space="0" w:color="000000"/>
            </w:tcBorders>
          </w:tcPr>
          <w:p w14:paraId="44F2D243"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44F2D244"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Yes</w:t>
            </w:r>
          </w:p>
        </w:tc>
      </w:tr>
      <w:tr w:rsidR="0014319A" w:rsidRPr="00B81D1B" w14:paraId="44F2D24A" w14:textId="77777777" w:rsidTr="0048562E">
        <w:trPr>
          <w:trHeight w:val="48"/>
        </w:trPr>
        <w:tc>
          <w:tcPr>
            <w:tcW w:w="2518" w:type="dxa"/>
            <w:tcBorders>
              <w:top w:val="single" w:sz="5" w:space="0" w:color="000000"/>
              <w:left w:val="single" w:sz="5" w:space="0" w:color="000000"/>
              <w:bottom w:val="single" w:sz="5" w:space="0" w:color="000000"/>
              <w:right w:val="single" w:sz="5" w:space="0" w:color="000000"/>
            </w:tcBorders>
          </w:tcPr>
          <w:p w14:paraId="44F2D246"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44F2D247"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8</w:t>
            </w:r>
          </w:p>
        </w:tc>
        <w:tc>
          <w:tcPr>
            <w:tcW w:w="5251" w:type="dxa"/>
            <w:tcBorders>
              <w:top w:val="single" w:sz="5" w:space="0" w:color="000000"/>
              <w:left w:val="single" w:sz="5" w:space="0" w:color="000000"/>
              <w:bottom w:val="single" w:sz="5" w:space="0" w:color="000000"/>
              <w:right w:val="single" w:sz="5" w:space="0" w:color="000000"/>
            </w:tcBorders>
          </w:tcPr>
          <w:p w14:paraId="44F2D248"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44F2D249"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Yes</w:t>
            </w:r>
          </w:p>
        </w:tc>
      </w:tr>
      <w:tr w:rsidR="0014319A" w:rsidRPr="00B81D1B" w14:paraId="44F2D24D" w14:textId="77777777" w:rsidTr="0048562E">
        <w:trPr>
          <w:trHeight w:val="24"/>
        </w:trPr>
        <w:tc>
          <w:tcPr>
            <w:tcW w:w="84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24B" w14:textId="77777777" w:rsidR="0014319A" w:rsidRPr="00B81D1B" w:rsidRDefault="0014319A" w:rsidP="00B81D1B">
            <w:pPr>
              <w:pStyle w:val="Default"/>
              <w:rPr>
                <w:rFonts w:ascii="Times New Roman" w:hAnsi="Times New Roman" w:cs="Times New Roman"/>
              </w:rPr>
            </w:pPr>
            <w:r w:rsidRPr="00B81D1B">
              <w:rPr>
                <w:rFonts w:ascii="Times New Roman" w:hAnsi="Times New Roman" w:cs="Times New Roman"/>
                <w:b/>
                <w:bCs/>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24C" w14:textId="77777777" w:rsidR="0014319A" w:rsidRPr="00B81D1B" w:rsidRDefault="0014319A" w:rsidP="00B81D1B">
            <w:pPr>
              <w:pStyle w:val="Default"/>
              <w:rPr>
                <w:rFonts w:ascii="Times New Roman" w:hAnsi="Times New Roman" w:cs="Times New Roman"/>
                <w:color w:val="auto"/>
              </w:rPr>
            </w:pPr>
          </w:p>
        </w:tc>
      </w:tr>
      <w:tr w:rsidR="0014319A" w:rsidRPr="00B81D1B" w14:paraId="44F2D252" w14:textId="77777777" w:rsidTr="0048562E">
        <w:trPr>
          <w:trHeight w:val="48"/>
        </w:trPr>
        <w:tc>
          <w:tcPr>
            <w:tcW w:w="2518" w:type="dxa"/>
            <w:tcBorders>
              <w:top w:val="single" w:sz="4" w:space="0" w:color="auto"/>
              <w:left w:val="single" w:sz="4" w:space="0" w:color="auto"/>
              <w:bottom w:val="single" w:sz="4" w:space="0" w:color="auto"/>
              <w:right w:val="single" w:sz="4" w:space="0" w:color="auto"/>
            </w:tcBorders>
          </w:tcPr>
          <w:p w14:paraId="44F2D24E"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44F2D24F"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9</w:t>
            </w:r>
          </w:p>
        </w:tc>
        <w:tc>
          <w:tcPr>
            <w:tcW w:w="5251" w:type="dxa"/>
            <w:tcBorders>
              <w:top w:val="single" w:sz="5" w:space="0" w:color="000000"/>
              <w:left w:val="single" w:sz="5" w:space="0" w:color="000000"/>
              <w:bottom w:val="single" w:sz="5" w:space="0" w:color="000000"/>
              <w:right w:val="single" w:sz="5" w:space="0" w:color="000000"/>
            </w:tcBorders>
          </w:tcPr>
          <w:p w14:paraId="44F2D250"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44F2D251" w14:textId="766ADAF0" w:rsidR="0014319A" w:rsidRPr="00B81D1B" w:rsidRDefault="0001727F" w:rsidP="00B81D1B">
            <w:pPr>
              <w:pStyle w:val="Default"/>
              <w:spacing w:before="40" w:after="40"/>
              <w:rPr>
                <w:rFonts w:ascii="Times New Roman" w:hAnsi="Times New Roman" w:cs="Times New Roman"/>
                <w:color w:val="auto"/>
              </w:rPr>
            </w:pPr>
            <w:r>
              <w:rPr>
                <w:rFonts w:ascii="Times New Roman" w:hAnsi="Times New Roman" w:cs="Times New Roman"/>
                <w:color w:val="auto"/>
              </w:rPr>
              <w:t>Yes</w:t>
            </w:r>
          </w:p>
        </w:tc>
      </w:tr>
      <w:tr w:rsidR="0014319A" w:rsidRPr="00B81D1B" w14:paraId="44F2D257" w14:textId="77777777" w:rsidTr="0048562E">
        <w:trPr>
          <w:trHeight w:val="48"/>
        </w:trPr>
        <w:tc>
          <w:tcPr>
            <w:tcW w:w="2518" w:type="dxa"/>
            <w:tcBorders>
              <w:top w:val="single" w:sz="4" w:space="0" w:color="auto"/>
              <w:left w:val="single" w:sz="4" w:space="0" w:color="auto"/>
              <w:bottom w:val="single" w:sz="4" w:space="0" w:color="auto"/>
              <w:right w:val="single" w:sz="4" w:space="0" w:color="auto"/>
            </w:tcBorders>
          </w:tcPr>
          <w:p w14:paraId="44F2D253"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Interpretation</w:t>
            </w:r>
          </w:p>
        </w:tc>
        <w:tc>
          <w:tcPr>
            <w:tcW w:w="709" w:type="dxa"/>
            <w:tcBorders>
              <w:top w:val="single" w:sz="5" w:space="0" w:color="000000"/>
              <w:left w:val="single" w:sz="4" w:space="0" w:color="auto"/>
              <w:bottom w:val="single" w:sz="5" w:space="0" w:color="000000"/>
              <w:right w:val="single" w:sz="5" w:space="0" w:color="000000"/>
            </w:tcBorders>
          </w:tcPr>
          <w:p w14:paraId="44F2D254"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10</w:t>
            </w:r>
          </w:p>
        </w:tc>
        <w:tc>
          <w:tcPr>
            <w:tcW w:w="5251" w:type="dxa"/>
            <w:tcBorders>
              <w:top w:val="single" w:sz="5" w:space="0" w:color="000000"/>
              <w:left w:val="single" w:sz="5" w:space="0" w:color="000000"/>
              <w:bottom w:val="single" w:sz="5" w:space="0" w:color="000000"/>
              <w:right w:val="single" w:sz="5" w:space="0" w:color="000000"/>
            </w:tcBorders>
          </w:tcPr>
          <w:p w14:paraId="44F2D255"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44F2D256"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Yes</w:t>
            </w:r>
          </w:p>
        </w:tc>
      </w:tr>
      <w:tr w:rsidR="0014319A" w:rsidRPr="00B81D1B" w14:paraId="44F2D25A" w14:textId="77777777" w:rsidTr="0048562E">
        <w:trPr>
          <w:trHeight w:val="24"/>
        </w:trPr>
        <w:tc>
          <w:tcPr>
            <w:tcW w:w="84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F2D258" w14:textId="77777777" w:rsidR="0014319A" w:rsidRPr="00B81D1B" w:rsidRDefault="0014319A" w:rsidP="00B81D1B">
            <w:pPr>
              <w:pStyle w:val="Default"/>
              <w:rPr>
                <w:rFonts w:ascii="Times New Roman" w:hAnsi="Times New Roman" w:cs="Times New Roman"/>
              </w:rPr>
            </w:pPr>
            <w:r w:rsidRPr="00B81D1B">
              <w:rPr>
                <w:rFonts w:ascii="Times New Roman" w:hAnsi="Times New Roman" w:cs="Times New Roman"/>
                <w:b/>
                <w:bCs/>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2D259" w14:textId="77777777" w:rsidR="0014319A" w:rsidRPr="00B81D1B" w:rsidRDefault="0014319A" w:rsidP="00B81D1B">
            <w:pPr>
              <w:pStyle w:val="Default"/>
              <w:rPr>
                <w:rFonts w:ascii="Times New Roman" w:hAnsi="Times New Roman" w:cs="Times New Roman"/>
                <w:color w:val="auto"/>
              </w:rPr>
            </w:pPr>
          </w:p>
        </w:tc>
      </w:tr>
      <w:tr w:rsidR="0014319A" w:rsidRPr="00B81D1B" w14:paraId="44F2D25F" w14:textId="77777777" w:rsidTr="0048562E">
        <w:trPr>
          <w:trHeight w:val="48"/>
        </w:trPr>
        <w:tc>
          <w:tcPr>
            <w:tcW w:w="2518" w:type="dxa"/>
            <w:tcBorders>
              <w:top w:val="single" w:sz="5" w:space="0" w:color="000000"/>
              <w:left w:val="single" w:sz="5" w:space="0" w:color="000000"/>
              <w:bottom w:val="single" w:sz="5" w:space="0" w:color="000000"/>
              <w:right w:val="single" w:sz="5" w:space="0" w:color="000000"/>
            </w:tcBorders>
          </w:tcPr>
          <w:p w14:paraId="44F2D25B"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Funding</w:t>
            </w:r>
          </w:p>
        </w:tc>
        <w:tc>
          <w:tcPr>
            <w:tcW w:w="709" w:type="dxa"/>
            <w:tcBorders>
              <w:top w:val="single" w:sz="5" w:space="0" w:color="000000"/>
              <w:left w:val="single" w:sz="5" w:space="0" w:color="000000"/>
              <w:bottom w:val="single" w:sz="5" w:space="0" w:color="000000"/>
              <w:right w:val="single" w:sz="5" w:space="0" w:color="000000"/>
            </w:tcBorders>
          </w:tcPr>
          <w:p w14:paraId="44F2D25C"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11</w:t>
            </w:r>
          </w:p>
        </w:tc>
        <w:tc>
          <w:tcPr>
            <w:tcW w:w="5251" w:type="dxa"/>
            <w:tcBorders>
              <w:top w:val="single" w:sz="5" w:space="0" w:color="000000"/>
              <w:left w:val="single" w:sz="5" w:space="0" w:color="000000"/>
              <w:bottom w:val="single" w:sz="5" w:space="0" w:color="000000"/>
              <w:right w:val="single" w:sz="5" w:space="0" w:color="000000"/>
            </w:tcBorders>
          </w:tcPr>
          <w:p w14:paraId="44F2D25D"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44F2D25E"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w:t>
            </w:r>
          </w:p>
        </w:tc>
      </w:tr>
      <w:tr w:rsidR="0014319A" w:rsidRPr="00B81D1B" w14:paraId="44F2D264" w14:textId="77777777" w:rsidTr="0048562E">
        <w:trPr>
          <w:trHeight w:val="219"/>
        </w:trPr>
        <w:tc>
          <w:tcPr>
            <w:tcW w:w="2518" w:type="dxa"/>
            <w:tcBorders>
              <w:top w:val="single" w:sz="5" w:space="0" w:color="000000"/>
              <w:left w:val="single" w:sz="5" w:space="0" w:color="000000"/>
              <w:bottom w:val="double" w:sz="5" w:space="0" w:color="000000"/>
              <w:right w:val="single" w:sz="5" w:space="0" w:color="000000"/>
            </w:tcBorders>
          </w:tcPr>
          <w:p w14:paraId="44F2D260"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Registration</w:t>
            </w:r>
          </w:p>
        </w:tc>
        <w:tc>
          <w:tcPr>
            <w:tcW w:w="709" w:type="dxa"/>
            <w:tcBorders>
              <w:top w:val="single" w:sz="5" w:space="0" w:color="000000"/>
              <w:left w:val="single" w:sz="5" w:space="0" w:color="000000"/>
              <w:bottom w:val="double" w:sz="5" w:space="0" w:color="000000"/>
              <w:right w:val="single" w:sz="5" w:space="0" w:color="000000"/>
            </w:tcBorders>
          </w:tcPr>
          <w:p w14:paraId="44F2D261"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12</w:t>
            </w:r>
          </w:p>
        </w:tc>
        <w:tc>
          <w:tcPr>
            <w:tcW w:w="5251" w:type="dxa"/>
            <w:tcBorders>
              <w:top w:val="single" w:sz="5" w:space="0" w:color="000000"/>
              <w:left w:val="single" w:sz="5" w:space="0" w:color="000000"/>
              <w:bottom w:val="double" w:sz="5" w:space="0" w:color="000000"/>
              <w:right w:val="single" w:sz="5" w:space="0" w:color="000000"/>
            </w:tcBorders>
          </w:tcPr>
          <w:p w14:paraId="44F2D262" w14:textId="77777777" w:rsidR="0014319A" w:rsidRPr="00B81D1B" w:rsidRDefault="0014319A" w:rsidP="00B81D1B">
            <w:pPr>
              <w:pStyle w:val="Default"/>
              <w:spacing w:before="40" w:after="40"/>
              <w:rPr>
                <w:rFonts w:ascii="Times New Roman" w:hAnsi="Times New Roman" w:cs="Times New Roman"/>
              </w:rPr>
            </w:pPr>
            <w:r w:rsidRPr="00B81D1B">
              <w:rPr>
                <w:rFonts w:ascii="Times New Roman" w:hAnsi="Times New Roman" w:cs="Times New Roman"/>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44F2D263" w14:textId="77777777" w:rsidR="0014319A" w:rsidRPr="00B81D1B" w:rsidRDefault="0014319A" w:rsidP="00B81D1B">
            <w:pPr>
              <w:pStyle w:val="Default"/>
              <w:spacing w:before="40" w:after="40"/>
              <w:rPr>
                <w:rFonts w:ascii="Times New Roman" w:hAnsi="Times New Roman" w:cs="Times New Roman"/>
                <w:color w:val="auto"/>
              </w:rPr>
            </w:pPr>
            <w:r w:rsidRPr="00B81D1B">
              <w:rPr>
                <w:rFonts w:ascii="Times New Roman" w:hAnsi="Times New Roman" w:cs="Times New Roman"/>
                <w:color w:val="auto"/>
              </w:rPr>
              <w:t>No</w:t>
            </w:r>
          </w:p>
        </w:tc>
      </w:tr>
    </w:tbl>
    <w:p w14:paraId="44F2D265" w14:textId="20C56661" w:rsidR="008A25BC" w:rsidRDefault="008A25BC" w:rsidP="00B81D1B">
      <w:pPr>
        <w:rPr>
          <w:rFonts w:ascii="Times New Roman" w:hAnsi="Times New Roman" w:cs="Times New Roman"/>
          <w:color w:val="0D0D0D" w:themeColor="text1" w:themeTint="F2"/>
          <w:sz w:val="24"/>
          <w:szCs w:val="24"/>
        </w:rPr>
      </w:pPr>
    </w:p>
    <w:p w14:paraId="44F2D2D2" w14:textId="4194DD98" w:rsidR="00D95D17" w:rsidRDefault="008A25BC" w:rsidP="00676E56">
      <w:pPr>
        <w:spacing w:after="0" w:line="240" w:lineRule="auto"/>
        <w:rPr>
          <w:rFonts w:ascii="Times New Roman" w:hAnsi="Times New Roman" w:cs="Times New Roman"/>
          <w:b/>
          <w:color w:val="0D0D0D" w:themeColor="text1" w:themeTint="F2"/>
          <w:sz w:val="24"/>
          <w:szCs w:val="24"/>
          <w:u w:val="single"/>
        </w:rPr>
      </w:pPr>
      <w:r w:rsidRPr="005B25D5">
        <w:rPr>
          <w:rFonts w:ascii="Times New Roman" w:hAnsi="Times New Roman" w:cs="Times New Roman"/>
          <w:b/>
          <w:bCs/>
          <w:color w:val="0D0D0D" w:themeColor="text1" w:themeTint="F2"/>
          <w:sz w:val="24"/>
          <w:szCs w:val="24"/>
          <w:u w:val="single"/>
        </w:rPr>
        <w:br w:type="page"/>
      </w:r>
      <w:r w:rsidR="006E5A74" w:rsidRPr="00040E3F">
        <w:rPr>
          <w:rFonts w:ascii="Times New Roman" w:hAnsi="Times New Roman" w:cs="Times New Roman"/>
          <w:b/>
          <w:color w:val="0D0D0D" w:themeColor="text1" w:themeTint="F2"/>
          <w:sz w:val="24"/>
          <w:szCs w:val="24"/>
          <w:u w:val="single"/>
        </w:rPr>
        <w:lastRenderedPageBreak/>
        <w:t>Table S2</w:t>
      </w:r>
      <w:r w:rsidR="00040E3F" w:rsidRPr="00040E3F">
        <w:rPr>
          <w:rFonts w:ascii="Times New Roman" w:hAnsi="Times New Roman" w:cs="Times New Roman"/>
          <w:b/>
          <w:color w:val="0D0D0D" w:themeColor="text1" w:themeTint="F2"/>
          <w:sz w:val="24"/>
          <w:szCs w:val="24"/>
          <w:u w:val="single"/>
        </w:rPr>
        <w:t>:</w:t>
      </w:r>
      <w:r w:rsidR="006E5A74" w:rsidRPr="00040E3F">
        <w:rPr>
          <w:rFonts w:ascii="Times New Roman" w:hAnsi="Times New Roman" w:cs="Times New Roman"/>
          <w:b/>
          <w:color w:val="0D0D0D" w:themeColor="text1" w:themeTint="F2"/>
          <w:sz w:val="24"/>
          <w:szCs w:val="24"/>
          <w:u w:val="single"/>
        </w:rPr>
        <w:t xml:space="preserve"> Search strategy methods with</w:t>
      </w:r>
      <w:r w:rsidR="0069220F">
        <w:rPr>
          <w:rFonts w:ascii="Times New Roman" w:hAnsi="Times New Roman" w:cs="Times New Roman"/>
          <w:b/>
          <w:color w:val="0D0D0D" w:themeColor="text1" w:themeTint="F2"/>
          <w:sz w:val="24"/>
          <w:szCs w:val="24"/>
          <w:u w:val="single"/>
        </w:rPr>
        <w:t xml:space="preserve"> </w:t>
      </w:r>
      <w:r w:rsidR="006E5A74" w:rsidRPr="00040E3F">
        <w:rPr>
          <w:rFonts w:ascii="Times New Roman" w:hAnsi="Times New Roman" w:cs="Times New Roman"/>
          <w:b/>
          <w:color w:val="0D0D0D" w:themeColor="text1" w:themeTint="F2"/>
          <w:sz w:val="24"/>
          <w:szCs w:val="24"/>
          <w:u w:val="single"/>
        </w:rPr>
        <w:t>MESH terms</w:t>
      </w:r>
    </w:p>
    <w:tbl>
      <w:tblPr>
        <w:tblStyle w:val="TableGrid"/>
        <w:tblpPr w:leftFromText="180" w:rightFromText="180" w:vertAnchor="page" w:horzAnchor="margin" w:tblpXSpec="center" w:tblpY="1890"/>
        <w:tblW w:w="5000" w:type="pct"/>
        <w:tblLook w:val="04A0" w:firstRow="1" w:lastRow="0" w:firstColumn="1" w:lastColumn="0" w:noHBand="0" w:noVBand="1"/>
      </w:tblPr>
      <w:tblGrid>
        <w:gridCol w:w="509"/>
        <w:gridCol w:w="1750"/>
        <w:gridCol w:w="3949"/>
        <w:gridCol w:w="1097"/>
        <w:gridCol w:w="937"/>
        <w:gridCol w:w="1030"/>
        <w:gridCol w:w="844"/>
      </w:tblGrid>
      <w:tr w:rsidR="00D95D17" w:rsidRPr="009B0E76" w14:paraId="7FA36F82" w14:textId="77777777" w:rsidTr="0027224D">
        <w:trPr>
          <w:trHeight w:val="57"/>
        </w:trPr>
        <w:tc>
          <w:tcPr>
            <w:tcW w:w="252" w:type="pct"/>
            <w:vAlign w:val="center"/>
          </w:tcPr>
          <w:p w14:paraId="0A5E22B3" w14:textId="77777777" w:rsidR="00D95D17" w:rsidRPr="006A6EA9" w:rsidRDefault="00D95D17" w:rsidP="0027224D">
            <w:pPr>
              <w:rPr>
                <w:rFonts w:ascii="Times New Roman" w:hAnsi="Times New Roman" w:cs="Times New Roman"/>
                <w:b/>
                <w:bCs/>
              </w:rPr>
            </w:pPr>
            <w:r w:rsidRPr="006A6EA9">
              <w:rPr>
                <w:rFonts w:ascii="Times New Roman" w:hAnsi="Times New Roman" w:cs="Times New Roman"/>
                <w:b/>
                <w:bCs/>
              </w:rPr>
              <w:t>S.</w:t>
            </w:r>
          </w:p>
          <w:p w14:paraId="5865EDC4" w14:textId="77777777" w:rsidR="00D95D17" w:rsidRPr="006A6EA9" w:rsidRDefault="00D95D17" w:rsidP="0027224D">
            <w:pPr>
              <w:rPr>
                <w:rFonts w:ascii="Times New Roman" w:hAnsi="Times New Roman" w:cs="Times New Roman"/>
                <w:b/>
                <w:bCs/>
              </w:rPr>
            </w:pPr>
            <w:r w:rsidRPr="006A6EA9">
              <w:rPr>
                <w:rFonts w:ascii="Times New Roman" w:hAnsi="Times New Roman" w:cs="Times New Roman"/>
                <w:b/>
                <w:bCs/>
              </w:rPr>
              <w:t>No</w:t>
            </w:r>
          </w:p>
        </w:tc>
        <w:tc>
          <w:tcPr>
            <w:tcW w:w="865" w:type="pct"/>
            <w:vAlign w:val="center"/>
          </w:tcPr>
          <w:p w14:paraId="595F4FA5" w14:textId="77777777" w:rsidR="00D95D17" w:rsidRPr="006A6EA9" w:rsidRDefault="00D95D17" w:rsidP="0027224D">
            <w:pPr>
              <w:rPr>
                <w:rFonts w:ascii="Times New Roman" w:hAnsi="Times New Roman" w:cs="Times New Roman"/>
                <w:b/>
                <w:bCs/>
              </w:rPr>
            </w:pPr>
            <w:r w:rsidRPr="006A6EA9">
              <w:rPr>
                <w:rFonts w:ascii="Times New Roman" w:hAnsi="Times New Roman" w:cs="Times New Roman"/>
                <w:b/>
                <w:bCs/>
              </w:rPr>
              <w:t>Domain</w:t>
            </w:r>
          </w:p>
        </w:tc>
        <w:tc>
          <w:tcPr>
            <w:tcW w:w="1951" w:type="pct"/>
            <w:vAlign w:val="center"/>
          </w:tcPr>
          <w:p w14:paraId="387F45CF" w14:textId="77777777" w:rsidR="00D95D17" w:rsidRPr="006A6EA9" w:rsidRDefault="00D95D17" w:rsidP="0027224D">
            <w:pPr>
              <w:rPr>
                <w:rFonts w:ascii="Times New Roman" w:hAnsi="Times New Roman" w:cs="Times New Roman"/>
                <w:b/>
                <w:bCs/>
              </w:rPr>
            </w:pPr>
            <w:r w:rsidRPr="006A6EA9">
              <w:rPr>
                <w:rFonts w:ascii="Times New Roman" w:hAnsi="Times New Roman" w:cs="Times New Roman"/>
                <w:b/>
                <w:bCs/>
              </w:rPr>
              <w:t>Search details</w:t>
            </w:r>
          </w:p>
          <w:p w14:paraId="05A5DA03" w14:textId="22C6C084" w:rsidR="00D95D17" w:rsidRPr="006A6EA9" w:rsidRDefault="00D95D17" w:rsidP="0027224D">
            <w:pPr>
              <w:rPr>
                <w:rFonts w:ascii="Times New Roman" w:hAnsi="Times New Roman" w:cs="Times New Roman"/>
                <w:b/>
                <w:bCs/>
              </w:rPr>
            </w:pPr>
            <w:r w:rsidRPr="006A6EA9">
              <w:rPr>
                <w:rFonts w:ascii="Times New Roman" w:hAnsi="Times New Roman" w:cs="Times New Roman"/>
                <w:b/>
                <w:bCs/>
              </w:rPr>
              <w:t xml:space="preserve">Searched till </w:t>
            </w:r>
            <w:r w:rsidR="00FE0947">
              <w:rPr>
                <w:rFonts w:ascii="Times New Roman" w:hAnsi="Times New Roman" w:cs="Times New Roman"/>
                <w:b/>
                <w:bCs/>
              </w:rPr>
              <w:t>February 2024</w:t>
            </w:r>
          </w:p>
        </w:tc>
        <w:tc>
          <w:tcPr>
            <w:tcW w:w="542" w:type="pct"/>
            <w:vAlign w:val="center"/>
          </w:tcPr>
          <w:p w14:paraId="46A96754" w14:textId="77777777" w:rsidR="00D95D17" w:rsidRPr="006A6EA9" w:rsidRDefault="00D95D17" w:rsidP="0027224D">
            <w:pPr>
              <w:rPr>
                <w:rFonts w:ascii="Times New Roman" w:hAnsi="Times New Roman" w:cs="Times New Roman"/>
                <w:b/>
                <w:bCs/>
              </w:rPr>
            </w:pPr>
            <w:r w:rsidRPr="006A6EA9">
              <w:rPr>
                <w:rFonts w:ascii="Times New Roman" w:hAnsi="Times New Roman" w:cs="Times New Roman"/>
                <w:b/>
                <w:bCs/>
              </w:rPr>
              <w:t>PubMed</w:t>
            </w:r>
          </w:p>
        </w:tc>
        <w:tc>
          <w:tcPr>
            <w:tcW w:w="463" w:type="pct"/>
            <w:vAlign w:val="center"/>
          </w:tcPr>
          <w:p w14:paraId="6BEDCADE" w14:textId="77777777" w:rsidR="00D95D17" w:rsidRPr="006A6EA9" w:rsidRDefault="00D95D17" w:rsidP="0027224D">
            <w:pPr>
              <w:rPr>
                <w:rFonts w:ascii="Times New Roman" w:hAnsi="Times New Roman" w:cs="Times New Roman"/>
                <w:b/>
                <w:bCs/>
              </w:rPr>
            </w:pPr>
            <w:r w:rsidRPr="006A6EA9">
              <w:rPr>
                <w:rFonts w:ascii="Times New Roman" w:hAnsi="Times New Roman" w:cs="Times New Roman"/>
                <w:b/>
                <w:bCs/>
              </w:rPr>
              <w:t>Scopus</w:t>
            </w:r>
          </w:p>
        </w:tc>
        <w:tc>
          <w:tcPr>
            <w:tcW w:w="509" w:type="pct"/>
            <w:vAlign w:val="center"/>
          </w:tcPr>
          <w:p w14:paraId="1C8CA02F" w14:textId="77777777" w:rsidR="00D95D17" w:rsidRPr="006A6EA9" w:rsidRDefault="00D95D17" w:rsidP="0027224D">
            <w:pPr>
              <w:rPr>
                <w:rFonts w:ascii="Times New Roman" w:hAnsi="Times New Roman" w:cs="Times New Roman"/>
                <w:b/>
                <w:bCs/>
              </w:rPr>
            </w:pPr>
            <w:r w:rsidRPr="006A6EA9">
              <w:rPr>
                <w:rFonts w:ascii="Times New Roman" w:hAnsi="Times New Roman" w:cs="Times New Roman"/>
                <w:b/>
                <w:bCs/>
              </w:rPr>
              <w:t>Embase</w:t>
            </w:r>
          </w:p>
        </w:tc>
        <w:tc>
          <w:tcPr>
            <w:tcW w:w="417" w:type="pct"/>
            <w:vAlign w:val="center"/>
          </w:tcPr>
          <w:p w14:paraId="59E9F687" w14:textId="77777777" w:rsidR="00D95D17" w:rsidRPr="006A6EA9" w:rsidRDefault="00D95D17" w:rsidP="0027224D">
            <w:pPr>
              <w:rPr>
                <w:rFonts w:ascii="Times New Roman" w:hAnsi="Times New Roman" w:cs="Times New Roman"/>
                <w:b/>
                <w:bCs/>
              </w:rPr>
            </w:pPr>
            <w:r w:rsidRPr="006A6EA9">
              <w:rPr>
                <w:rFonts w:ascii="Times New Roman" w:hAnsi="Times New Roman" w:cs="Times New Roman"/>
                <w:b/>
                <w:bCs/>
              </w:rPr>
              <w:t>OVID</w:t>
            </w:r>
          </w:p>
        </w:tc>
      </w:tr>
      <w:tr w:rsidR="00D95D17" w:rsidRPr="00B81D1B" w14:paraId="1E170FD0" w14:textId="77777777" w:rsidTr="0027224D">
        <w:trPr>
          <w:trHeight w:val="57"/>
        </w:trPr>
        <w:tc>
          <w:tcPr>
            <w:tcW w:w="252" w:type="pct"/>
            <w:vAlign w:val="center"/>
          </w:tcPr>
          <w:p w14:paraId="3BF9BF98"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1.</w:t>
            </w:r>
          </w:p>
        </w:tc>
        <w:tc>
          <w:tcPr>
            <w:tcW w:w="865" w:type="pct"/>
            <w:vAlign w:val="center"/>
          </w:tcPr>
          <w:p w14:paraId="7737FD50"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“Sphingosine kinase 1” AND Lymphoma</w:t>
            </w:r>
          </w:p>
        </w:tc>
        <w:tc>
          <w:tcPr>
            <w:tcW w:w="1951" w:type="pct"/>
            <w:vAlign w:val="center"/>
          </w:tcPr>
          <w:p w14:paraId="39FDD0C3"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"Sphingosine kinase 1"[All Fields] AND ("lymphoma"[MeSH Terms] OR "lymphoma"[All Fields] OR "lymphomas"[All Fields] OR "lymphoma s"[All Fields])</w:t>
            </w:r>
          </w:p>
        </w:tc>
        <w:tc>
          <w:tcPr>
            <w:tcW w:w="542" w:type="pct"/>
            <w:vAlign w:val="center"/>
          </w:tcPr>
          <w:p w14:paraId="593E957E"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18</w:t>
            </w:r>
          </w:p>
        </w:tc>
        <w:tc>
          <w:tcPr>
            <w:tcW w:w="463" w:type="pct"/>
            <w:vAlign w:val="center"/>
          </w:tcPr>
          <w:p w14:paraId="50F9D5A5"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32</w:t>
            </w:r>
          </w:p>
        </w:tc>
        <w:tc>
          <w:tcPr>
            <w:tcW w:w="509" w:type="pct"/>
            <w:vAlign w:val="center"/>
          </w:tcPr>
          <w:p w14:paraId="1B85F0BD"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38</w:t>
            </w:r>
          </w:p>
        </w:tc>
        <w:tc>
          <w:tcPr>
            <w:tcW w:w="417" w:type="pct"/>
            <w:vAlign w:val="center"/>
          </w:tcPr>
          <w:p w14:paraId="7C71354F"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148</w:t>
            </w:r>
          </w:p>
        </w:tc>
      </w:tr>
      <w:tr w:rsidR="00D95D17" w:rsidRPr="00B81D1B" w14:paraId="33B5F546" w14:textId="77777777" w:rsidTr="0027224D">
        <w:trPr>
          <w:trHeight w:val="57"/>
        </w:trPr>
        <w:tc>
          <w:tcPr>
            <w:tcW w:w="252" w:type="pct"/>
            <w:vAlign w:val="center"/>
          </w:tcPr>
          <w:p w14:paraId="75C658A1"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2.</w:t>
            </w:r>
          </w:p>
        </w:tc>
        <w:tc>
          <w:tcPr>
            <w:tcW w:w="865" w:type="pct"/>
            <w:vAlign w:val="center"/>
          </w:tcPr>
          <w:p w14:paraId="55430FEC"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SphK1 AND Lymphoma</w:t>
            </w:r>
          </w:p>
        </w:tc>
        <w:tc>
          <w:tcPr>
            <w:tcW w:w="1951" w:type="pct"/>
            <w:vAlign w:val="center"/>
          </w:tcPr>
          <w:p w14:paraId="08C6BF42"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"SphK1"[All Fields] AND ("lymphoma"[MeSH Terms] OR "lymphoma"[All Fields] OR "lymphomas"[All Fields] OR "lymphoma s"[All Fields])</w:t>
            </w:r>
          </w:p>
        </w:tc>
        <w:tc>
          <w:tcPr>
            <w:tcW w:w="542" w:type="pct"/>
            <w:vAlign w:val="center"/>
          </w:tcPr>
          <w:p w14:paraId="4BA3F761" w14:textId="77777777" w:rsidR="00D95D17" w:rsidRPr="006A6EA9" w:rsidRDefault="00D95D17" w:rsidP="007E2212">
            <w:pPr>
              <w:jc w:val="center"/>
              <w:rPr>
                <w:rFonts w:ascii="Times New Roman" w:hAnsi="Times New Roman" w:cs="Times New Roman"/>
                <w:color w:val="0D0D0D" w:themeColor="text1" w:themeTint="F2"/>
              </w:rPr>
            </w:pPr>
            <w:r w:rsidRPr="007C7820">
              <w:rPr>
                <w:rFonts w:ascii="Times New Roman" w:hAnsi="Times New Roman" w:cs="Times New Roman"/>
                <w:color w:val="0D0D0D" w:themeColor="text1" w:themeTint="F2"/>
              </w:rPr>
              <w:t>13</w:t>
            </w:r>
          </w:p>
        </w:tc>
        <w:tc>
          <w:tcPr>
            <w:tcW w:w="463" w:type="pct"/>
            <w:vAlign w:val="center"/>
          </w:tcPr>
          <w:p w14:paraId="6C562B1D"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17</w:t>
            </w:r>
          </w:p>
        </w:tc>
        <w:tc>
          <w:tcPr>
            <w:tcW w:w="509" w:type="pct"/>
            <w:vAlign w:val="center"/>
          </w:tcPr>
          <w:p w14:paraId="40C0E06F"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21</w:t>
            </w:r>
          </w:p>
        </w:tc>
        <w:tc>
          <w:tcPr>
            <w:tcW w:w="417" w:type="pct"/>
            <w:vAlign w:val="center"/>
          </w:tcPr>
          <w:p w14:paraId="426EE78D"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156</w:t>
            </w:r>
          </w:p>
        </w:tc>
      </w:tr>
      <w:tr w:rsidR="00D95D17" w:rsidRPr="00B81D1B" w14:paraId="3160CDDA" w14:textId="77777777" w:rsidTr="0027224D">
        <w:trPr>
          <w:trHeight w:val="57"/>
        </w:trPr>
        <w:tc>
          <w:tcPr>
            <w:tcW w:w="252" w:type="pct"/>
            <w:vAlign w:val="center"/>
          </w:tcPr>
          <w:p w14:paraId="668F4B3B"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3.</w:t>
            </w:r>
          </w:p>
        </w:tc>
        <w:tc>
          <w:tcPr>
            <w:tcW w:w="865" w:type="pct"/>
            <w:vAlign w:val="center"/>
          </w:tcPr>
          <w:p w14:paraId="2245F73E"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SK1 AND Lymphoma</w:t>
            </w:r>
          </w:p>
        </w:tc>
        <w:tc>
          <w:tcPr>
            <w:tcW w:w="1951" w:type="pct"/>
            <w:vAlign w:val="center"/>
          </w:tcPr>
          <w:p w14:paraId="712AD312"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"SK1"[All Fields] AND ("lymphoma"[MeSH Terms] OR "lymphoma"[All Fields] OR "lymphomas"[All Fields] OR "lymphoma s"[All Fields])</w:t>
            </w:r>
          </w:p>
        </w:tc>
        <w:tc>
          <w:tcPr>
            <w:tcW w:w="542" w:type="pct"/>
            <w:vAlign w:val="center"/>
          </w:tcPr>
          <w:p w14:paraId="12F059AB" w14:textId="77777777" w:rsidR="00D95D17" w:rsidRPr="007C7820" w:rsidRDefault="00D95D17" w:rsidP="007E2212">
            <w:pPr>
              <w:jc w:val="center"/>
              <w:rPr>
                <w:rFonts w:ascii="Times New Roman" w:hAnsi="Times New Roman" w:cs="Times New Roman"/>
                <w:color w:val="FF0000"/>
              </w:rPr>
            </w:pPr>
            <w:r w:rsidRPr="007C7820">
              <w:rPr>
                <w:rFonts w:ascii="Times New Roman" w:hAnsi="Times New Roman" w:cs="Times New Roman"/>
                <w:color w:val="0D0D0D" w:themeColor="text1" w:themeTint="F2"/>
              </w:rPr>
              <w:t>9</w:t>
            </w:r>
          </w:p>
        </w:tc>
        <w:tc>
          <w:tcPr>
            <w:tcW w:w="463" w:type="pct"/>
            <w:vAlign w:val="center"/>
          </w:tcPr>
          <w:p w14:paraId="29ACBFFA" w14:textId="00793A88"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9</w:t>
            </w:r>
          </w:p>
        </w:tc>
        <w:tc>
          <w:tcPr>
            <w:tcW w:w="509" w:type="pct"/>
            <w:vAlign w:val="center"/>
          </w:tcPr>
          <w:p w14:paraId="634D9EE7"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14</w:t>
            </w:r>
          </w:p>
        </w:tc>
        <w:tc>
          <w:tcPr>
            <w:tcW w:w="417" w:type="pct"/>
            <w:vAlign w:val="center"/>
          </w:tcPr>
          <w:p w14:paraId="33D5EFE4"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230</w:t>
            </w:r>
          </w:p>
        </w:tc>
      </w:tr>
      <w:tr w:rsidR="00D95D17" w:rsidRPr="00B81D1B" w14:paraId="7074EEF8" w14:textId="77777777" w:rsidTr="0027224D">
        <w:trPr>
          <w:trHeight w:val="57"/>
        </w:trPr>
        <w:tc>
          <w:tcPr>
            <w:tcW w:w="252" w:type="pct"/>
            <w:vAlign w:val="center"/>
          </w:tcPr>
          <w:p w14:paraId="69C5FDBB"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4.</w:t>
            </w:r>
          </w:p>
        </w:tc>
        <w:tc>
          <w:tcPr>
            <w:tcW w:w="865" w:type="pct"/>
            <w:vAlign w:val="center"/>
          </w:tcPr>
          <w:p w14:paraId="6BA3F175"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“Sphingosine kinase 1” AND Leukemia</w:t>
            </w:r>
          </w:p>
        </w:tc>
        <w:tc>
          <w:tcPr>
            <w:tcW w:w="1951" w:type="pct"/>
            <w:vAlign w:val="center"/>
          </w:tcPr>
          <w:p w14:paraId="0B72FF62"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"Sphingosine kinase 1"[All Fields] AND ("leukaemia"[All Fields] OR "leukemia"[MeSH Terms] OR "leukemia"[All Fields] OR "leukaemias"[All Fields] OR "leukemias"[All Fields] OR "leukemia s"[All Fields])</w:t>
            </w:r>
          </w:p>
        </w:tc>
        <w:tc>
          <w:tcPr>
            <w:tcW w:w="542" w:type="pct"/>
            <w:vAlign w:val="center"/>
          </w:tcPr>
          <w:p w14:paraId="55BBF90A" w14:textId="77777777" w:rsidR="00D95D17" w:rsidRPr="007C7820" w:rsidRDefault="00D95D17" w:rsidP="007E2212">
            <w:pPr>
              <w:jc w:val="center"/>
              <w:rPr>
                <w:rFonts w:ascii="Times New Roman" w:hAnsi="Times New Roman" w:cs="Times New Roman"/>
                <w:color w:val="0D0D0D" w:themeColor="text1" w:themeTint="F2"/>
              </w:rPr>
            </w:pPr>
            <w:r w:rsidRPr="007C7820">
              <w:rPr>
                <w:rFonts w:ascii="Times New Roman" w:hAnsi="Times New Roman" w:cs="Times New Roman"/>
                <w:color w:val="0D0D0D" w:themeColor="text1" w:themeTint="F2"/>
              </w:rPr>
              <w:t>57</w:t>
            </w:r>
          </w:p>
        </w:tc>
        <w:tc>
          <w:tcPr>
            <w:tcW w:w="463" w:type="pct"/>
            <w:vAlign w:val="center"/>
          </w:tcPr>
          <w:p w14:paraId="274DD571"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110</w:t>
            </w:r>
          </w:p>
        </w:tc>
        <w:tc>
          <w:tcPr>
            <w:tcW w:w="509" w:type="pct"/>
            <w:vAlign w:val="center"/>
          </w:tcPr>
          <w:p w14:paraId="70021D99"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156</w:t>
            </w:r>
          </w:p>
        </w:tc>
        <w:tc>
          <w:tcPr>
            <w:tcW w:w="417" w:type="pct"/>
            <w:vAlign w:val="center"/>
          </w:tcPr>
          <w:p w14:paraId="1C3676B6"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219</w:t>
            </w:r>
          </w:p>
        </w:tc>
      </w:tr>
      <w:tr w:rsidR="00D95D17" w:rsidRPr="00B81D1B" w14:paraId="40A82C40" w14:textId="77777777" w:rsidTr="0027224D">
        <w:trPr>
          <w:trHeight w:val="57"/>
        </w:trPr>
        <w:tc>
          <w:tcPr>
            <w:tcW w:w="252" w:type="pct"/>
            <w:vAlign w:val="center"/>
          </w:tcPr>
          <w:p w14:paraId="51008B8A"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5.</w:t>
            </w:r>
          </w:p>
        </w:tc>
        <w:tc>
          <w:tcPr>
            <w:tcW w:w="865" w:type="pct"/>
            <w:vAlign w:val="center"/>
          </w:tcPr>
          <w:p w14:paraId="1CF61942"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SphK1 AND Leukemia</w:t>
            </w:r>
          </w:p>
        </w:tc>
        <w:tc>
          <w:tcPr>
            <w:tcW w:w="1951" w:type="pct"/>
            <w:vAlign w:val="center"/>
          </w:tcPr>
          <w:p w14:paraId="2833B093"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"SphK1"[All Fields] AND ("leukaemia"[All Fields] OR "leukemia"[MeSH Terms] OR "leukemia"[All Fields] OR "leukaemias"[All Fields] OR "leukemias"[All Fields] OR "leukemia s"[All Fields])</w:t>
            </w:r>
          </w:p>
        </w:tc>
        <w:tc>
          <w:tcPr>
            <w:tcW w:w="542" w:type="pct"/>
            <w:vAlign w:val="center"/>
          </w:tcPr>
          <w:p w14:paraId="6209C8B3" w14:textId="77777777" w:rsidR="00D95D17" w:rsidRPr="006A6EA9" w:rsidRDefault="00D95D17" w:rsidP="007E2212">
            <w:pPr>
              <w:jc w:val="center"/>
              <w:rPr>
                <w:rFonts w:ascii="Times New Roman" w:hAnsi="Times New Roman" w:cs="Times New Roman"/>
                <w:color w:val="0D0D0D" w:themeColor="text1" w:themeTint="F2"/>
              </w:rPr>
            </w:pPr>
            <w:r w:rsidRPr="007C7820">
              <w:rPr>
                <w:rFonts w:ascii="Times New Roman" w:hAnsi="Times New Roman" w:cs="Times New Roman"/>
                <w:color w:val="0D0D0D" w:themeColor="text1" w:themeTint="F2"/>
              </w:rPr>
              <w:t>42</w:t>
            </w:r>
          </w:p>
        </w:tc>
        <w:tc>
          <w:tcPr>
            <w:tcW w:w="463" w:type="pct"/>
            <w:vAlign w:val="center"/>
          </w:tcPr>
          <w:p w14:paraId="2C6557F1"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48</w:t>
            </w:r>
          </w:p>
        </w:tc>
        <w:tc>
          <w:tcPr>
            <w:tcW w:w="509" w:type="pct"/>
            <w:vAlign w:val="center"/>
          </w:tcPr>
          <w:p w14:paraId="46EB7505"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67</w:t>
            </w:r>
          </w:p>
        </w:tc>
        <w:tc>
          <w:tcPr>
            <w:tcW w:w="417" w:type="pct"/>
            <w:vAlign w:val="center"/>
          </w:tcPr>
          <w:p w14:paraId="51F50AB2"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201</w:t>
            </w:r>
          </w:p>
        </w:tc>
      </w:tr>
      <w:tr w:rsidR="00D95D17" w:rsidRPr="00B81D1B" w14:paraId="6FF6F798" w14:textId="77777777" w:rsidTr="0027224D">
        <w:trPr>
          <w:trHeight w:val="57"/>
        </w:trPr>
        <w:tc>
          <w:tcPr>
            <w:tcW w:w="252" w:type="pct"/>
            <w:vAlign w:val="center"/>
          </w:tcPr>
          <w:p w14:paraId="0EB66812"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6.</w:t>
            </w:r>
          </w:p>
        </w:tc>
        <w:tc>
          <w:tcPr>
            <w:tcW w:w="865" w:type="pct"/>
            <w:vAlign w:val="center"/>
          </w:tcPr>
          <w:p w14:paraId="06C345B2"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SK1 AND Leukemia</w:t>
            </w:r>
          </w:p>
        </w:tc>
        <w:tc>
          <w:tcPr>
            <w:tcW w:w="1951" w:type="pct"/>
            <w:vAlign w:val="center"/>
          </w:tcPr>
          <w:p w14:paraId="0C557843"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"SK1"[All Fields] AND ("leukaemia"[All Fields] OR "leukemia"[MeSH Terms] OR "leukemia"[All Fields] OR "leukaemias"[All Fields] OR "leukemias"[All Fields] OR "leukemia s"[All Fields])</w:t>
            </w:r>
          </w:p>
        </w:tc>
        <w:tc>
          <w:tcPr>
            <w:tcW w:w="542" w:type="pct"/>
            <w:vAlign w:val="center"/>
          </w:tcPr>
          <w:p w14:paraId="45F35777"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17</w:t>
            </w:r>
          </w:p>
        </w:tc>
        <w:tc>
          <w:tcPr>
            <w:tcW w:w="463" w:type="pct"/>
            <w:vAlign w:val="center"/>
          </w:tcPr>
          <w:p w14:paraId="236F41C1"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17</w:t>
            </w:r>
          </w:p>
        </w:tc>
        <w:tc>
          <w:tcPr>
            <w:tcW w:w="509" w:type="pct"/>
            <w:vAlign w:val="center"/>
          </w:tcPr>
          <w:p w14:paraId="7E3A5490"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64</w:t>
            </w:r>
          </w:p>
        </w:tc>
        <w:tc>
          <w:tcPr>
            <w:tcW w:w="417" w:type="pct"/>
            <w:vAlign w:val="center"/>
          </w:tcPr>
          <w:p w14:paraId="1ECB1525"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244</w:t>
            </w:r>
          </w:p>
        </w:tc>
      </w:tr>
      <w:tr w:rsidR="00D95D17" w:rsidRPr="00B81D1B" w14:paraId="18A14768" w14:textId="77777777" w:rsidTr="0027224D">
        <w:trPr>
          <w:trHeight w:val="57"/>
        </w:trPr>
        <w:tc>
          <w:tcPr>
            <w:tcW w:w="252" w:type="pct"/>
            <w:vAlign w:val="center"/>
          </w:tcPr>
          <w:p w14:paraId="7085632C"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7.</w:t>
            </w:r>
          </w:p>
        </w:tc>
        <w:tc>
          <w:tcPr>
            <w:tcW w:w="865" w:type="pct"/>
            <w:vAlign w:val="center"/>
          </w:tcPr>
          <w:p w14:paraId="483A90FC"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“Sphingosine kinase 1” AND</w:t>
            </w:r>
          </w:p>
          <w:p w14:paraId="09D8F316"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 xml:space="preserve">“Multiple myeloma” </w:t>
            </w:r>
          </w:p>
        </w:tc>
        <w:tc>
          <w:tcPr>
            <w:tcW w:w="1951"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2"/>
              <w:gridCol w:w="81"/>
            </w:tblGrid>
            <w:tr w:rsidR="00D95D17" w:rsidRPr="006A6EA9" w14:paraId="442A5603" w14:textId="77777777" w:rsidTr="0027224D">
              <w:trPr>
                <w:tblCellSpacing w:w="15" w:type="dxa"/>
              </w:trPr>
              <w:tc>
                <w:tcPr>
                  <w:tcW w:w="7082" w:type="dxa"/>
                  <w:vAlign w:val="center"/>
                  <w:hideMark/>
                </w:tcPr>
                <w:p w14:paraId="62F236CE" w14:textId="77777777" w:rsidR="00D95D17" w:rsidRPr="006A6EA9" w:rsidRDefault="00D95D17" w:rsidP="004F35E2">
                  <w:pPr>
                    <w:framePr w:hSpace="180" w:wrap="around" w:vAnchor="page" w:hAnchor="margin" w:xAlign="center" w:y="1890"/>
                    <w:spacing w:after="0" w:line="240" w:lineRule="auto"/>
                    <w:rPr>
                      <w:rFonts w:ascii="Times New Roman" w:eastAsia="Times New Roman" w:hAnsi="Times New Roman" w:cs="Times New Roman"/>
                    </w:rPr>
                  </w:pPr>
                  <w:r w:rsidRPr="006A6EA9">
                    <w:rPr>
                      <w:rFonts w:ascii="Times New Roman" w:eastAsia="Times New Roman" w:hAnsi="Times New Roman" w:cs="Times New Roman"/>
                    </w:rPr>
                    <w:t>"Sphingosine kinase 1"</w:t>
                  </w:r>
                </w:p>
                <w:p w14:paraId="012D764D" w14:textId="77777777" w:rsidR="00D95D17" w:rsidRPr="006A6EA9" w:rsidRDefault="00D95D17" w:rsidP="004F35E2">
                  <w:pPr>
                    <w:framePr w:hSpace="180" w:wrap="around" w:vAnchor="page" w:hAnchor="margin" w:xAlign="center" w:y="1890"/>
                    <w:spacing w:after="0" w:line="240" w:lineRule="auto"/>
                    <w:rPr>
                      <w:rFonts w:ascii="Times New Roman" w:eastAsia="Times New Roman" w:hAnsi="Times New Roman" w:cs="Times New Roman"/>
                    </w:rPr>
                  </w:pPr>
                  <w:r w:rsidRPr="006A6EA9">
                    <w:rPr>
                      <w:rFonts w:ascii="Times New Roman" w:eastAsia="Times New Roman" w:hAnsi="Times New Roman" w:cs="Times New Roman"/>
                    </w:rPr>
                    <w:t xml:space="preserve">[All Fields] AND "multiple </w:t>
                  </w:r>
                </w:p>
                <w:p w14:paraId="482005F2" w14:textId="77777777" w:rsidR="00D95D17" w:rsidRPr="006A6EA9" w:rsidRDefault="00D95D17" w:rsidP="004F35E2">
                  <w:pPr>
                    <w:framePr w:hSpace="180" w:wrap="around" w:vAnchor="page" w:hAnchor="margin" w:xAlign="center" w:y="1890"/>
                    <w:spacing w:after="0" w:line="240" w:lineRule="auto"/>
                    <w:rPr>
                      <w:rFonts w:ascii="Times New Roman" w:eastAsia="Times New Roman" w:hAnsi="Times New Roman" w:cs="Times New Roman"/>
                    </w:rPr>
                  </w:pPr>
                  <w:r w:rsidRPr="006A6EA9">
                    <w:rPr>
                      <w:rFonts w:ascii="Times New Roman" w:eastAsia="Times New Roman" w:hAnsi="Times New Roman" w:cs="Times New Roman"/>
                    </w:rPr>
                    <w:t xml:space="preserve">myeloma"[All Fields] </w:t>
                  </w:r>
                </w:p>
              </w:tc>
              <w:tc>
                <w:tcPr>
                  <w:tcW w:w="36" w:type="dxa"/>
                  <w:vAlign w:val="center"/>
                  <w:hideMark/>
                </w:tcPr>
                <w:p w14:paraId="0F90E192" w14:textId="77777777" w:rsidR="00D95D17" w:rsidRPr="006A6EA9" w:rsidRDefault="00D95D17" w:rsidP="004F35E2">
                  <w:pPr>
                    <w:framePr w:hSpace="180" w:wrap="around" w:vAnchor="page" w:hAnchor="margin" w:xAlign="center" w:y="1890"/>
                    <w:spacing w:after="0" w:line="240" w:lineRule="auto"/>
                    <w:rPr>
                      <w:rFonts w:ascii="Times New Roman" w:eastAsia="Times New Roman" w:hAnsi="Times New Roman" w:cs="Times New Roman"/>
                    </w:rPr>
                  </w:pPr>
                </w:p>
              </w:tc>
            </w:tr>
          </w:tbl>
          <w:p w14:paraId="27327EDE" w14:textId="77777777" w:rsidR="00D95D17" w:rsidRPr="006A6EA9" w:rsidRDefault="00D95D17" w:rsidP="0027224D">
            <w:pPr>
              <w:rPr>
                <w:rFonts w:ascii="Times New Roman" w:hAnsi="Times New Roman" w:cs="Times New Roman"/>
              </w:rPr>
            </w:pPr>
          </w:p>
        </w:tc>
        <w:tc>
          <w:tcPr>
            <w:tcW w:w="542" w:type="pct"/>
            <w:vAlign w:val="center"/>
          </w:tcPr>
          <w:p w14:paraId="5739D2F4"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2</w:t>
            </w:r>
          </w:p>
        </w:tc>
        <w:tc>
          <w:tcPr>
            <w:tcW w:w="463" w:type="pct"/>
            <w:vAlign w:val="center"/>
          </w:tcPr>
          <w:p w14:paraId="605EBF58"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18</w:t>
            </w:r>
          </w:p>
        </w:tc>
        <w:tc>
          <w:tcPr>
            <w:tcW w:w="509" w:type="pct"/>
            <w:vAlign w:val="center"/>
          </w:tcPr>
          <w:p w14:paraId="2DDF719B"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31</w:t>
            </w:r>
          </w:p>
        </w:tc>
        <w:tc>
          <w:tcPr>
            <w:tcW w:w="417" w:type="pct"/>
            <w:vAlign w:val="center"/>
          </w:tcPr>
          <w:p w14:paraId="70160A97" w14:textId="77777777" w:rsidR="00D95D17" w:rsidRPr="006A6EA9" w:rsidRDefault="00D95D17" w:rsidP="007E2212">
            <w:pPr>
              <w:jc w:val="center"/>
              <w:rPr>
                <w:rFonts w:ascii="Times New Roman" w:hAnsi="Times New Roman" w:cs="Times New Roman"/>
                <w:color w:val="0D0D0D" w:themeColor="text1" w:themeTint="F2"/>
              </w:rPr>
            </w:pPr>
            <w:r w:rsidRPr="004276CE">
              <w:rPr>
                <w:rFonts w:ascii="Times New Roman" w:hAnsi="Times New Roman" w:cs="Times New Roman"/>
                <w:color w:val="0D0D0D" w:themeColor="text1" w:themeTint="F2"/>
              </w:rPr>
              <w:t>49</w:t>
            </w:r>
          </w:p>
        </w:tc>
      </w:tr>
      <w:tr w:rsidR="00D95D17" w:rsidRPr="00B81D1B" w14:paraId="623C6059" w14:textId="77777777" w:rsidTr="0027224D">
        <w:trPr>
          <w:trHeight w:val="57"/>
        </w:trPr>
        <w:tc>
          <w:tcPr>
            <w:tcW w:w="252" w:type="pct"/>
            <w:vAlign w:val="center"/>
          </w:tcPr>
          <w:p w14:paraId="7E3D20B1"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8.</w:t>
            </w:r>
          </w:p>
        </w:tc>
        <w:tc>
          <w:tcPr>
            <w:tcW w:w="865" w:type="pct"/>
            <w:vAlign w:val="center"/>
          </w:tcPr>
          <w:p w14:paraId="0A1C242F"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SphK1 AND “Multiple myeloma”</w:t>
            </w:r>
          </w:p>
        </w:tc>
        <w:tc>
          <w:tcPr>
            <w:tcW w:w="1951" w:type="pct"/>
            <w:vAlign w:val="center"/>
          </w:tcPr>
          <w:p w14:paraId="74A4D88B"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"SphK1"[All Fields] AND "multiple myeloma"[All Fields]</w:t>
            </w:r>
          </w:p>
        </w:tc>
        <w:tc>
          <w:tcPr>
            <w:tcW w:w="542" w:type="pct"/>
            <w:vAlign w:val="center"/>
          </w:tcPr>
          <w:p w14:paraId="7314328C"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4</w:t>
            </w:r>
          </w:p>
        </w:tc>
        <w:tc>
          <w:tcPr>
            <w:tcW w:w="463" w:type="pct"/>
            <w:vAlign w:val="center"/>
          </w:tcPr>
          <w:p w14:paraId="68E40DFB"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8</w:t>
            </w:r>
          </w:p>
        </w:tc>
        <w:tc>
          <w:tcPr>
            <w:tcW w:w="509" w:type="pct"/>
            <w:vAlign w:val="center"/>
          </w:tcPr>
          <w:p w14:paraId="0FF95065"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21</w:t>
            </w:r>
          </w:p>
        </w:tc>
        <w:tc>
          <w:tcPr>
            <w:tcW w:w="417" w:type="pct"/>
            <w:vAlign w:val="center"/>
          </w:tcPr>
          <w:p w14:paraId="6A8DEFFB" w14:textId="45C71280"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53</w:t>
            </w:r>
          </w:p>
        </w:tc>
      </w:tr>
      <w:tr w:rsidR="00D95D17" w:rsidRPr="00B81D1B" w14:paraId="69F03227" w14:textId="77777777" w:rsidTr="0027224D">
        <w:trPr>
          <w:trHeight w:val="57"/>
        </w:trPr>
        <w:tc>
          <w:tcPr>
            <w:tcW w:w="252" w:type="pct"/>
            <w:vAlign w:val="center"/>
          </w:tcPr>
          <w:p w14:paraId="41493350"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9.</w:t>
            </w:r>
          </w:p>
        </w:tc>
        <w:tc>
          <w:tcPr>
            <w:tcW w:w="865" w:type="pct"/>
            <w:vAlign w:val="center"/>
          </w:tcPr>
          <w:p w14:paraId="30425D01"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SK1 AND “Multiple myeloma”</w:t>
            </w:r>
          </w:p>
        </w:tc>
        <w:tc>
          <w:tcPr>
            <w:tcW w:w="1951" w:type="pct"/>
            <w:vAlign w:val="center"/>
          </w:tcPr>
          <w:p w14:paraId="7CF6BA23" w14:textId="77777777" w:rsidR="00D95D17" w:rsidRPr="006A6EA9" w:rsidRDefault="00D95D17" w:rsidP="0027224D">
            <w:pPr>
              <w:rPr>
                <w:rFonts w:ascii="Times New Roman" w:hAnsi="Times New Roman" w:cs="Times New Roman"/>
              </w:rPr>
            </w:pPr>
            <w:r w:rsidRPr="006A6EA9">
              <w:rPr>
                <w:rFonts w:ascii="Times New Roman" w:hAnsi="Times New Roman" w:cs="Times New Roman"/>
              </w:rPr>
              <w:t>"SK1"[All Fields] AND "multiple myeloma"[All Fields]</w:t>
            </w:r>
          </w:p>
        </w:tc>
        <w:tc>
          <w:tcPr>
            <w:tcW w:w="542" w:type="pct"/>
            <w:vAlign w:val="center"/>
          </w:tcPr>
          <w:p w14:paraId="204FDB8F"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2</w:t>
            </w:r>
          </w:p>
        </w:tc>
        <w:tc>
          <w:tcPr>
            <w:tcW w:w="463" w:type="pct"/>
            <w:vAlign w:val="center"/>
          </w:tcPr>
          <w:p w14:paraId="32A6C6C1" w14:textId="77777777" w:rsidR="00D95D17" w:rsidRPr="006A6EA9" w:rsidRDefault="00D95D17" w:rsidP="007E2212">
            <w:pPr>
              <w:jc w:val="center"/>
              <w:rPr>
                <w:rFonts w:ascii="Times New Roman" w:hAnsi="Times New Roman" w:cs="Times New Roman"/>
                <w:color w:val="0D0D0D" w:themeColor="text1" w:themeTint="F2"/>
              </w:rPr>
            </w:pPr>
            <w:r w:rsidRPr="006A6EA9">
              <w:rPr>
                <w:rFonts w:ascii="Times New Roman" w:hAnsi="Times New Roman" w:cs="Times New Roman"/>
                <w:color w:val="0D0D0D" w:themeColor="text1" w:themeTint="F2"/>
              </w:rPr>
              <w:t>3</w:t>
            </w:r>
          </w:p>
        </w:tc>
        <w:tc>
          <w:tcPr>
            <w:tcW w:w="509" w:type="pct"/>
            <w:vAlign w:val="center"/>
          </w:tcPr>
          <w:p w14:paraId="4323B0BB"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10</w:t>
            </w:r>
          </w:p>
        </w:tc>
        <w:tc>
          <w:tcPr>
            <w:tcW w:w="417" w:type="pct"/>
            <w:vAlign w:val="center"/>
          </w:tcPr>
          <w:p w14:paraId="4B3FCEE0" w14:textId="77777777" w:rsidR="00D95D17" w:rsidRPr="006A6EA9" w:rsidRDefault="00D95D17" w:rsidP="007E2212">
            <w:pPr>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t>61</w:t>
            </w:r>
          </w:p>
        </w:tc>
      </w:tr>
      <w:tr w:rsidR="00D95D17" w:rsidRPr="00B81D1B" w14:paraId="29F99A3F" w14:textId="77777777" w:rsidTr="0027224D">
        <w:tblPrEx>
          <w:tblLook w:val="0000" w:firstRow="0" w:lastRow="0" w:firstColumn="0" w:lastColumn="0" w:noHBand="0" w:noVBand="0"/>
        </w:tblPrEx>
        <w:trPr>
          <w:trHeight w:val="57"/>
        </w:trPr>
        <w:tc>
          <w:tcPr>
            <w:tcW w:w="252" w:type="pct"/>
            <w:vAlign w:val="center"/>
          </w:tcPr>
          <w:p w14:paraId="3EC0E6A6" w14:textId="77777777" w:rsidR="00D95D17" w:rsidRPr="006A6EA9" w:rsidRDefault="00D95D17" w:rsidP="0027224D">
            <w:pPr>
              <w:rPr>
                <w:rFonts w:ascii="Times New Roman" w:hAnsi="Times New Roman" w:cs="Times New Roman"/>
                <w:b/>
                <w:color w:val="FF0000"/>
              </w:rPr>
            </w:pPr>
          </w:p>
        </w:tc>
        <w:tc>
          <w:tcPr>
            <w:tcW w:w="2817" w:type="pct"/>
            <w:gridSpan w:val="2"/>
            <w:vAlign w:val="center"/>
          </w:tcPr>
          <w:p w14:paraId="095D380A" w14:textId="77777777" w:rsidR="00D95D17" w:rsidRPr="006A6EA9" w:rsidRDefault="00D95D17" w:rsidP="0027224D">
            <w:pPr>
              <w:rPr>
                <w:rFonts w:ascii="Times New Roman" w:hAnsi="Times New Roman" w:cs="Times New Roman"/>
                <w:b/>
                <w:color w:val="0D0D0D" w:themeColor="text1" w:themeTint="F2"/>
              </w:rPr>
            </w:pPr>
            <w:r w:rsidRPr="006A6EA9">
              <w:rPr>
                <w:rFonts w:ascii="Times New Roman" w:hAnsi="Times New Roman" w:cs="Times New Roman"/>
                <w:b/>
                <w:color w:val="0D0D0D" w:themeColor="text1" w:themeTint="F2"/>
              </w:rPr>
              <w:t>Total</w:t>
            </w:r>
          </w:p>
        </w:tc>
        <w:tc>
          <w:tcPr>
            <w:tcW w:w="542" w:type="pct"/>
            <w:vAlign w:val="center"/>
          </w:tcPr>
          <w:p w14:paraId="583B80EB" w14:textId="77777777" w:rsidR="00D95D17" w:rsidRPr="006A6EA9" w:rsidRDefault="00D95D17" w:rsidP="007E2212">
            <w:pPr>
              <w:jc w:val="center"/>
              <w:rPr>
                <w:rFonts w:ascii="Times New Roman" w:hAnsi="Times New Roman" w:cs="Times New Roman"/>
                <w:b/>
                <w:color w:val="0D0D0D" w:themeColor="text1" w:themeTint="F2"/>
              </w:rPr>
            </w:pPr>
            <w:r>
              <w:rPr>
                <w:rFonts w:ascii="Times New Roman" w:hAnsi="Times New Roman" w:cs="Times New Roman"/>
                <w:b/>
                <w:color w:val="0D0D0D" w:themeColor="text1" w:themeTint="F2"/>
              </w:rPr>
              <w:t>164</w:t>
            </w:r>
          </w:p>
        </w:tc>
        <w:tc>
          <w:tcPr>
            <w:tcW w:w="463" w:type="pct"/>
            <w:vAlign w:val="center"/>
          </w:tcPr>
          <w:p w14:paraId="7DCD946E" w14:textId="77777777" w:rsidR="00D95D17" w:rsidRPr="006A6EA9" w:rsidRDefault="00D95D17" w:rsidP="007E2212">
            <w:pPr>
              <w:jc w:val="center"/>
              <w:rPr>
                <w:rFonts w:ascii="Times New Roman" w:hAnsi="Times New Roman" w:cs="Times New Roman"/>
                <w:b/>
                <w:color w:val="0D0D0D" w:themeColor="text1" w:themeTint="F2"/>
              </w:rPr>
            </w:pPr>
            <w:r>
              <w:rPr>
                <w:rFonts w:ascii="Times New Roman" w:hAnsi="Times New Roman" w:cs="Times New Roman"/>
                <w:b/>
                <w:color w:val="0D0D0D" w:themeColor="text1" w:themeTint="F2"/>
              </w:rPr>
              <w:t>262</w:t>
            </w:r>
          </w:p>
        </w:tc>
        <w:tc>
          <w:tcPr>
            <w:tcW w:w="509" w:type="pct"/>
            <w:vAlign w:val="center"/>
          </w:tcPr>
          <w:p w14:paraId="52C430BA" w14:textId="77777777" w:rsidR="00D95D17" w:rsidRPr="006A6EA9" w:rsidRDefault="00D95D17" w:rsidP="007E2212">
            <w:pPr>
              <w:jc w:val="center"/>
              <w:rPr>
                <w:rFonts w:ascii="Times New Roman" w:hAnsi="Times New Roman" w:cs="Times New Roman"/>
                <w:b/>
                <w:color w:val="0D0D0D" w:themeColor="text1" w:themeTint="F2"/>
              </w:rPr>
            </w:pPr>
            <w:r>
              <w:rPr>
                <w:rFonts w:ascii="Times New Roman" w:hAnsi="Times New Roman" w:cs="Times New Roman"/>
                <w:b/>
                <w:color w:val="0D0D0D" w:themeColor="text1" w:themeTint="F2"/>
              </w:rPr>
              <w:t>422</w:t>
            </w:r>
          </w:p>
        </w:tc>
        <w:tc>
          <w:tcPr>
            <w:tcW w:w="417" w:type="pct"/>
            <w:vAlign w:val="center"/>
          </w:tcPr>
          <w:p w14:paraId="4B8E37A5" w14:textId="77777777" w:rsidR="00D95D17" w:rsidRPr="006A6EA9" w:rsidRDefault="00D95D17" w:rsidP="007E2212">
            <w:pPr>
              <w:jc w:val="center"/>
              <w:rPr>
                <w:rFonts w:ascii="Times New Roman" w:hAnsi="Times New Roman" w:cs="Times New Roman"/>
                <w:b/>
                <w:color w:val="0D0D0D" w:themeColor="text1" w:themeTint="F2"/>
              </w:rPr>
            </w:pPr>
            <w:r>
              <w:rPr>
                <w:rFonts w:ascii="Times New Roman" w:hAnsi="Times New Roman" w:cs="Times New Roman"/>
                <w:b/>
                <w:color w:val="0D0D0D" w:themeColor="text1" w:themeTint="F2"/>
              </w:rPr>
              <w:t>1361</w:t>
            </w:r>
          </w:p>
        </w:tc>
      </w:tr>
    </w:tbl>
    <w:p w14:paraId="44F2D2D4" w14:textId="4C9EB5FB" w:rsidR="006E5A74" w:rsidRPr="00283B27" w:rsidRDefault="00D95D17" w:rsidP="00D95D17">
      <w:pPr>
        <w:rPr>
          <w:rFonts w:ascii="Times New Roman" w:hAnsi="Times New Roman" w:cs="Times New Roman"/>
          <w:b/>
          <w:color w:val="0D0D0D" w:themeColor="text1" w:themeTint="F2"/>
          <w:sz w:val="24"/>
          <w:szCs w:val="24"/>
          <w:u w:val="single"/>
        </w:rPr>
      </w:pPr>
      <w:r>
        <w:rPr>
          <w:rFonts w:ascii="Times New Roman" w:hAnsi="Times New Roman" w:cs="Times New Roman"/>
          <w:b/>
          <w:color w:val="0D0D0D" w:themeColor="text1" w:themeTint="F2"/>
          <w:sz w:val="24"/>
          <w:szCs w:val="24"/>
          <w:u w:val="single"/>
        </w:rPr>
        <w:br w:type="page"/>
      </w:r>
      <w:r w:rsidR="006E5A74" w:rsidRPr="00283B27">
        <w:rPr>
          <w:rFonts w:ascii="Times New Roman" w:hAnsi="Times New Roman" w:cs="Times New Roman"/>
          <w:b/>
          <w:color w:val="0D0D0D" w:themeColor="text1" w:themeTint="F2"/>
          <w:sz w:val="24"/>
          <w:szCs w:val="24"/>
          <w:u w:val="single"/>
        </w:rPr>
        <w:lastRenderedPageBreak/>
        <w:t>Table S3</w:t>
      </w:r>
      <w:r w:rsidR="00283B27">
        <w:rPr>
          <w:rFonts w:ascii="Times New Roman" w:hAnsi="Times New Roman" w:cs="Times New Roman"/>
          <w:b/>
          <w:color w:val="0D0D0D" w:themeColor="text1" w:themeTint="F2"/>
          <w:sz w:val="24"/>
          <w:szCs w:val="24"/>
          <w:u w:val="single"/>
        </w:rPr>
        <w:t>:</w:t>
      </w:r>
      <w:r w:rsidR="006E5A74" w:rsidRPr="00283B27">
        <w:rPr>
          <w:rFonts w:ascii="Times New Roman" w:hAnsi="Times New Roman" w:cs="Times New Roman"/>
          <w:b/>
          <w:color w:val="0D0D0D" w:themeColor="text1" w:themeTint="F2"/>
          <w:sz w:val="24"/>
          <w:szCs w:val="24"/>
          <w:u w:val="single"/>
        </w:rPr>
        <w:t xml:space="preserve"> Excluded studies after screening the </w:t>
      </w:r>
      <w:r w:rsidR="003A2169" w:rsidRPr="00283B27">
        <w:rPr>
          <w:rFonts w:ascii="Times New Roman" w:hAnsi="Times New Roman" w:cs="Times New Roman"/>
          <w:b/>
          <w:color w:val="0D0D0D" w:themeColor="text1" w:themeTint="F2"/>
          <w:sz w:val="24"/>
          <w:szCs w:val="24"/>
          <w:u w:val="single"/>
        </w:rPr>
        <w:t>full-length</w:t>
      </w:r>
      <w:r w:rsidR="006E5A74" w:rsidRPr="00283B27">
        <w:rPr>
          <w:rFonts w:ascii="Times New Roman" w:hAnsi="Times New Roman" w:cs="Times New Roman"/>
          <w:b/>
          <w:color w:val="0D0D0D" w:themeColor="text1" w:themeTint="F2"/>
          <w:sz w:val="24"/>
          <w:szCs w:val="24"/>
          <w:u w:val="single"/>
        </w:rPr>
        <w:t xml:space="preserve"> paper</w:t>
      </w:r>
    </w:p>
    <w:tbl>
      <w:tblPr>
        <w:tblStyle w:val="TableGrid"/>
        <w:tblW w:w="10027" w:type="dxa"/>
        <w:tblLayout w:type="fixed"/>
        <w:tblLook w:val="04A0" w:firstRow="1" w:lastRow="0" w:firstColumn="1" w:lastColumn="0" w:noHBand="0" w:noVBand="1"/>
      </w:tblPr>
      <w:tblGrid>
        <w:gridCol w:w="585"/>
        <w:gridCol w:w="6502"/>
        <w:gridCol w:w="2940"/>
      </w:tblGrid>
      <w:tr w:rsidR="006E5A74" w:rsidRPr="00B81D1B" w14:paraId="44F2D2D8" w14:textId="77777777" w:rsidTr="008B5BFD">
        <w:trPr>
          <w:trHeight w:val="564"/>
        </w:trPr>
        <w:tc>
          <w:tcPr>
            <w:tcW w:w="585" w:type="dxa"/>
          </w:tcPr>
          <w:p w14:paraId="44F2D2D5" w14:textId="000F946C"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S.</w:t>
            </w:r>
            <w:r w:rsidR="0014030B">
              <w:rPr>
                <w:rFonts w:ascii="Times New Roman" w:hAnsi="Times New Roman" w:cs="Times New Roman"/>
                <w:color w:val="0D0D0D" w:themeColor="text1" w:themeTint="F2"/>
                <w:sz w:val="24"/>
                <w:szCs w:val="24"/>
              </w:rPr>
              <w:t xml:space="preserve"> </w:t>
            </w:r>
            <w:r w:rsidRPr="00B81D1B">
              <w:rPr>
                <w:rFonts w:ascii="Times New Roman" w:hAnsi="Times New Roman" w:cs="Times New Roman"/>
                <w:color w:val="0D0D0D" w:themeColor="text1" w:themeTint="F2"/>
                <w:sz w:val="24"/>
                <w:szCs w:val="24"/>
              </w:rPr>
              <w:t>No</w:t>
            </w:r>
            <w:r w:rsidR="0014030B">
              <w:rPr>
                <w:rFonts w:ascii="Times New Roman" w:hAnsi="Times New Roman" w:cs="Times New Roman"/>
                <w:color w:val="0D0D0D" w:themeColor="text1" w:themeTint="F2"/>
                <w:sz w:val="24"/>
                <w:szCs w:val="24"/>
              </w:rPr>
              <w:t>.</w:t>
            </w:r>
          </w:p>
        </w:tc>
        <w:tc>
          <w:tcPr>
            <w:tcW w:w="6502" w:type="dxa"/>
          </w:tcPr>
          <w:p w14:paraId="44F2D2D6"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Excluded study</w:t>
            </w:r>
          </w:p>
        </w:tc>
        <w:tc>
          <w:tcPr>
            <w:tcW w:w="2940" w:type="dxa"/>
          </w:tcPr>
          <w:p w14:paraId="44F2D2D7"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Reason of exclusion</w:t>
            </w:r>
          </w:p>
        </w:tc>
      </w:tr>
      <w:tr w:rsidR="006E5A74" w:rsidRPr="00B81D1B" w14:paraId="44F2D2DC" w14:textId="77777777" w:rsidTr="008B5BFD">
        <w:trPr>
          <w:trHeight w:val="355"/>
        </w:trPr>
        <w:tc>
          <w:tcPr>
            <w:tcW w:w="585" w:type="dxa"/>
          </w:tcPr>
          <w:p w14:paraId="44F2D2D9"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w:t>
            </w:r>
          </w:p>
        </w:tc>
        <w:tc>
          <w:tcPr>
            <w:tcW w:w="6502" w:type="dxa"/>
          </w:tcPr>
          <w:p w14:paraId="44F2D2DA"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Gencer EB, Ural AU, Avcu F, Baran Y. A novel mechanism of dasatinib-induced apoptosis in chronic myeloid leukemia; ceramide synthase and ceramide clearance genes. Ann Hematol. 2011 Nov;90(11):1265–75.</w:t>
            </w:r>
          </w:p>
        </w:tc>
        <w:tc>
          <w:tcPr>
            <w:tcW w:w="2940" w:type="dxa"/>
          </w:tcPr>
          <w:p w14:paraId="44F2D2DB"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Cell line study</w:t>
            </w:r>
          </w:p>
        </w:tc>
      </w:tr>
      <w:tr w:rsidR="006E5A74" w:rsidRPr="00B81D1B" w14:paraId="44F2D2E0" w14:textId="77777777" w:rsidTr="008B5BFD">
        <w:trPr>
          <w:trHeight w:val="355"/>
        </w:trPr>
        <w:tc>
          <w:tcPr>
            <w:tcW w:w="585" w:type="dxa"/>
          </w:tcPr>
          <w:p w14:paraId="44F2D2DD"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w:t>
            </w:r>
          </w:p>
        </w:tc>
        <w:tc>
          <w:tcPr>
            <w:tcW w:w="6502" w:type="dxa"/>
          </w:tcPr>
          <w:p w14:paraId="44F2D2DE"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Paugh SW, Paugh BS, Rahmani M, Kapitonov D, Almenara JA, Kordula T, et al. A selective sphingosine kinase 1 inhibitor integrates multiple molecular therapeutic targets in human leukemia. Blood. 2008 Aug 15;112(4):1382–91.</w:t>
            </w:r>
          </w:p>
        </w:tc>
        <w:tc>
          <w:tcPr>
            <w:tcW w:w="2940" w:type="dxa"/>
          </w:tcPr>
          <w:p w14:paraId="44F2D2DF"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SphK1 activity is not reported from patient’s sample</w:t>
            </w:r>
          </w:p>
        </w:tc>
      </w:tr>
      <w:tr w:rsidR="006E5A74" w:rsidRPr="00B81D1B" w14:paraId="44F2D2E4" w14:textId="77777777" w:rsidTr="008B5BFD">
        <w:trPr>
          <w:trHeight w:val="355"/>
        </w:trPr>
        <w:tc>
          <w:tcPr>
            <w:tcW w:w="585" w:type="dxa"/>
          </w:tcPr>
          <w:p w14:paraId="44F2D2E1"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w:t>
            </w:r>
          </w:p>
        </w:tc>
        <w:tc>
          <w:tcPr>
            <w:tcW w:w="6502" w:type="dxa"/>
          </w:tcPr>
          <w:p w14:paraId="44F2D2E2"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Li Q-F, Wu C-T, Duan H-F, Sun H-Y, Wang H, Lu Z-Z, et al. Activation of sphingosine kinase mediates suppressive effect of interleukin-6 on human multiple myeloma cell apoptosis. Br J Haematol. 2007 Sep;138(5):632–9.</w:t>
            </w:r>
          </w:p>
        </w:tc>
        <w:tc>
          <w:tcPr>
            <w:tcW w:w="2940" w:type="dxa"/>
          </w:tcPr>
          <w:p w14:paraId="44F2D2E3"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No comparison with healthy participants</w:t>
            </w:r>
          </w:p>
        </w:tc>
      </w:tr>
      <w:tr w:rsidR="006E5A74" w:rsidRPr="00B81D1B" w14:paraId="44F2D2EC" w14:textId="77777777" w:rsidTr="008B5BFD">
        <w:trPr>
          <w:trHeight w:val="378"/>
        </w:trPr>
        <w:tc>
          <w:tcPr>
            <w:tcW w:w="585" w:type="dxa"/>
          </w:tcPr>
          <w:p w14:paraId="44F2D2E9" w14:textId="4C22A919" w:rsidR="006E5A74" w:rsidRPr="00B81D1B" w:rsidRDefault="00870363"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4</w:t>
            </w:r>
          </w:p>
        </w:tc>
        <w:tc>
          <w:tcPr>
            <w:tcW w:w="6502" w:type="dxa"/>
          </w:tcPr>
          <w:p w14:paraId="44F2D2EA"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Evangelisti C, Evangelisti C, Teti G, Falconi M, Cappellini A, Chiarini F, et al. Assessment of the effect of sphingosine kinase inhibitors on apoptosis, unfolded protein response and autophagy of T-acute lymphoblastic leukemia cells: Indications for novel therapeutics. Haematologica. 2014;99((Evangelisti C.; Teti G.; Falconi M.; Cappellini A.; Chiarini F.; Buontempo F.; Bressanin D.; Lonetti A.; Spartà A.; Martelli A.M.) Department of Biomedical and Neuromotor Sciences (DIBINEM), University of Bologna, Bologna, Italy):S83.</w:t>
            </w:r>
          </w:p>
        </w:tc>
        <w:tc>
          <w:tcPr>
            <w:tcW w:w="2940" w:type="dxa"/>
          </w:tcPr>
          <w:p w14:paraId="44F2D2EB" w14:textId="79568DED"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SphK1 </w:t>
            </w:r>
            <w:r w:rsidR="003A2169" w:rsidRPr="00B81D1B">
              <w:rPr>
                <w:rFonts w:ascii="Times New Roman" w:hAnsi="Times New Roman" w:cs="Times New Roman"/>
                <w:color w:val="0D0D0D" w:themeColor="text1" w:themeTint="F2"/>
                <w:sz w:val="24"/>
                <w:szCs w:val="24"/>
              </w:rPr>
              <w:t>activity is</w:t>
            </w:r>
            <w:r w:rsidRPr="00B81D1B">
              <w:rPr>
                <w:rFonts w:ascii="Times New Roman" w:hAnsi="Times New Roman" w:cs="Times New Roman"/>
                <w:color w:val="0D0D0D" w:themeColor="text1" w:themeTint="F2"/>
                <w:sz w:val="24"/>
                <w:szCs w:val="24"/>
              </w:rPr>
              <w:t xml:space="preserve"> not reported</w:t>
            </w:r>
          </w:p>
        </w:tc>
      </w:tr>
      <w:tr w:rsidR="006E5A74" w:rsidRPr="00B81D1B" w14:paraId="44F2D2F8" w14:textId="77777777" w:rsidTr="008B5BFD">
        <w:trPr>
          <w:trHeight w:val="355"/>
        </w:trPr>
        <w:tc>
          <w:tcPr>
            <w:tcW w:w="585" w:type="dxa"/>
          </w:tcPr>
          <w:p w14:paraId="44F2D2F5" w14:textId="73113D56" w:rsidR="006E5A74" w:rsidRPr="00B81D1B" w:rsidRDefault="0063501A"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5</w:t>
            </w:r>
          </w:p>
        </w:tc>
        <w:tc>
          <w:tcPr>
            <w:tcW w:w="6502" w:type="dxa"/>
          </w:tcPr>
          <w:p w14:paraId="44F2D2F6" w14:textId="05DA5363"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Baran Y, Kartal M, Cakir Z, Saydam G, Sahin F. Ceramides regulate resveratrol-induced apoptosis in human acute promyelocytic and chronic myeloid leukemia cells. Haematologica. 2010;95((Baran Y.; Cakir Z.) Izmir Institute of Technology, Faculty of Science, Dept.</w:t>
            </w:r>
            <w:r w:rsidR="00D2116C">
              <w:rPr>
                <w:rFonts w:ascii="Times New Roman" w:eastAsia="Times New Roman" w:hAnsi="Times New Roman" w:cs="Times New Roman"/>
                <w:color w:val="0D0D0D" w:themeColor="text1" w:themeTint="F2"/>
                <w:sz w:val="24"/>
                <w:szCs w:val="24"/>
              </w:rPr>
              <w:t xml:space="preserve"> </w:t>
            </w:r>
            <w:r w:rsidRPr="00B81D1B">
              <w:rPr>
                <w:rFonts w:ascii="Times New Roman" w:eastAsia="Times New Roman" w:hAnsi="Times New Roman" w:cs="Times New Roman"/>
                <w:color w:val="0D0D0D" w:themeColor="text1" w:themeTint="F2"/>
                <w:sz w:val="24"/>
                <w:szCs w:val="24"/>
              </w:rPr>
              <w:t>of</w:t>
            </w:r>
            <w:r w:rsidR="00D2116C">
              <w:rPr>
                <w:rFonts w:ascii="Times New Roman" w:eastAsia="Times New Roman" w:hAnsi="Times New Roman" w:cs="Times New Roman"/>
                <w:color w:val="0D0D0D" w:themeColor="text1" w:themeTint="F2"/>
                <w:sz w:val="24"/>
                <w:szCs w:val="24"/>
              </w:rPr>
              <w:t xml:space="preserve"> </w:t>
            </w:r>
            <w:r w:rsidRPr="00B81D1B">
              <w:rPr>
                <w:rFonts w:ascii="Times New Roman" w:eastAsia="Times New Roman" w:hAnsi="Times New Roman" w:cs="Times New Roman"/>
                <w:color w:val="0D0D0D" w:themeColor="text1" w:themeTint="F2"/>
                <w:sz w:val="24"/>
                <w:szCs w:val="24"/>
              </w:rPr>
              <w:t>Mol.</w:t>
            </w:r>
            <w:r w:rsidR="00D2116C">
              <w:rPr>
                <w:rFonts w:ascii="Times New Roman" w:eastAsia="Times New Roman" w:hAnsi="Times New Roman" w:cs="Times New Roman"/>
                <w:color w:val="0D0D0D" w:themeColor="text1" w:themeTint="F2"/>
                <w:sz w:val="24"/>
                <w:szCs w:val="24"/>
              </w:rPr>
              <w:t xml:space="preserve"> </w:t>
            </w:r>
            <w:r w:rsidRPr="00B81D1B">
              <w:rPr>
                <w:rFonts w:ascii="Times New Roman" w:eastAsia="Times New Roman" w:hAnsi="Times New Roman" w:cs="Times New Roman"/>
                <w:color w:val="0D0D0D" w:themeColor="text1" w:themeTint="F2"/>
                <w:sz w:val="24"/>
                <w:szCs w:val="24"/>
              </w:rPr>
              <w:t>Biol. and Genetics, Urla Izmir, Turkey):686–7.</w:t>
            </w:r>
          </w:p>
        </w:tc>
        <w:tc>
          <w:tcPr>
            <w:tcW w:w="2940" w:type="dxa"/>
          </w:tcPr>
          <w:p w14:paraId="44F2D2F7" w14:textId="6DFF47D3"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Full </w:t>
            </w:r>
            <w:r w:rsidR="00601CF9" w:rsidRPr="00B81D1B">
              <w:rPr>
                <w:rFonts w:ascii="Times New Roman" w:hAnsi="Times New Roman" w:cs="Times New Roman"/>
                <w:color w:val="0D0D0D" w:themeColor="text1" w:themeTint="F2"/>
                <w:sz w:val="24"/>
                <w:szCs w:val="24"/>
              </w:rPr>
              <w:t>text</w:t>
            </w:r>
            <w:r w:rsidR="00122A50" w:rsidRPr="00B81D1B">
              <w:rPr>
                <w:rFonts w:ascii="Times New Roman" w:hAnsi="Times New Roman" w:cs="Times New Roman"/>
                <w:color w:val="0D0D0D" w:themeColor="text1" w:themeTint="F2"/>
                <w:sz w:val="24"/>
                <w:szCs w:val="24"/>
              </w:rPr>
              <w:t xml:space="preserve"> paper</w:t>
            </w:r>
            <w:r w:rsidRPr="00B81D1B">
              <w:rPr>
                <w:rFonts w:ascii="Times New Roman" w:hAnsi="Times New Roman" w:cs="Times New Roman"/>
                <w:color w:val="0D0D0D" w:themeColor="text1" w:themeTint="F2"/>
                <w:sz w:val="24"/>
                <w:szCs w:val="24"/>
              </w:rPr>
              <w:t xml:space="preserve"> not available</w:t>
            </w:r>
          </w:p>
        </w:tc>
      </w:tr>
      <w:tr w:rsidR="006E5A74" w:rsidRPr="00B81D1B" w14:paraId="44F2D300" w14:textId="77777777" w:rsidTr="008B5BFD">
        <w:trPr>
          <w:trHeight w:val="378"/>
        </w:trPr>
        <w:tc>
          <w:tcPr>
            <w:tcW w:w="585" w:type="dxa"/>
          </w:tcPr>
          <w:p w14:paraId="44F2D2FD" w14:textId="3FDD02A7" w:rsidR="006E5A74" w:rsidRPr="00B81D1B" w:rsidRDefault="005467C5"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6</w:t>
            </w:r>
          </w:p>
        </w:tc>
        <w:tc>
          <w:tcPr>
            <w:tcW w:w="6502" w:type="dxa"/>
          </w:tcPr>
          <w:p w14:paraId="44F2D2FE"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Li Y, Gao Y, Liang B, Nie W, Zhao L, Wang L. Combined effects on leukemia cell growth by targeting sphingosine kinase 1 and sirtuin 1 signaling. Exp Ther Med. 2020 Dec;20(6):262.</w:t>
            </w:r>
          </w:p>
        </w:tc>
        <w:tc>
          <w:tcPr>
            <w:tcW w:w="2940" w:type="dxa"/>
          </w:tcPr>
          <w:p w14:paraId="44F2D2FF"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Cell line study</w:t>
            </w:r>
          </w:p>
        </w:tc>
      </w:tr>
      <w:tr w:rsidR="006E5A74" w:rsidRPr="00B81D1B" w14:paraId="44F2D304" w14:textId="77777777" w:rsidTr="008B5BFD">
        <w:trPr>
          <w:trHeight w:val="378"/>
        </w:trPr>
        <w:tc>
          <w:tcPr>
            <w:tcW w:w="585" w:type="dxa"/>
          </w:tcPr>
          <w:p w14:paraId="44F2D301" w14:textId="3F715F0B" w:rsidR="006E5A74" w:rsidRPr="00B81D1B" w:rsidRDefault="00413CFD"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7</w:t>
            </w:r>
          </w:p>
        </w:tc>
        <w:tc>
          <w:tcPr>
            <w:tcW w:w="6502" w:type="dxa"/>
          </w:tcPr>
          <w:p w14:paraId="44F2D302"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Xu L, Zhang Y, Gao M, Wang G, Fu Y. Concurrent targeting Akt and sphingosine kinase 1 by A-674563 in acute myeloid leukemia cells. Biochem Biophys Res Commun. 2016 Apr 15;472(4):662–8.</w:t>
            </w:r>
          </w:p>
        </w:tc>
        <w:tc>
          <w:tcPr>
            <w:tcW w:w="2940" w:type="dxa"/>
          </w:tcPr>
          <w:p w14:paraId="44F2D303" w14:textId="73DAEDFF"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SphK1 activity is not reported (is reported after the treatment of drugs)</w:t>
            </w:r>
          </w:p>
        </w:tc>
      </w:tr>
      <w:tr w:rsidR="006E5A74" w:rsidRPr="00B81D1B" w14:paraId="44F2D308" w14:textId="77777777" w:rsidTr="008B5BFD">
        <w:trPr>
          <w:trHeight w:val="355"/>
        </w:trPr>
        <w:tc>
          <w:tcPr>
            <w:tcW w:w="585" w:type="dxa"/>
          </w:tcPr>
          <w:p w14:paraId="44F2D305" w14:textId="151DF006" w:rsidR="006E5A74" w:rsidRPr="00B81D1B" w:rsidRDefault="00413CFD"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8</w:t>
            </w:r>
          </w:p>
        </w:tc>
        <w:tc>
          <w:tcPr>
            <w:tcW w:w="6502" w:type="dxa"/>
          </w:tcPr>
          <w:p w14:paraId="44F2D306"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 xml:space="preserve">Beider K, Rosenberg E, Bitner H, Leiba M, Koren-Michowitz M, Abraham M, et al. Cross-talk between sphingosine 1-phosphate (S1P) and CXCR4/CXCL12 regulates viability, supports CXCR4-dependent cell motility and defines the sensitivity to FTY720 in multiple myeloma. Haematologica. 2014;99((Beider K.; Rosenberg E.; Bitner H.; Leiba M.; Koren-Michowitz M.; Shimoni A.; Nagler A.) Hematology Division, Bone Marrow Transplantation, Guy Weinshtock Multiple </w:t>
            </w:r>
            <w:r w:rsidRPr="00B81D1B">
              <w:rPr>
                <w:rFonts w:ascii="Times New Roman" w:eastAsia="Times New Roman" w:hAnsi="Times New Roman" w:cs="Times New Roman"/>
                <w:color w:val="0D0D0D" w:themeColor="text1" w:themeTint="F2"/>
                <w:sz w:val="24"/>
                <w:szCs w:val="24"/>
              </w:rPr>
              <w:lastRenderedPageBreak/>
              <w:t>Myeloma Foundation, Sheba Medical Center, Ramat-Gan, Israel):248.</w:t>
            </w:r>
          </w:p>
        </w:tc>
        <w:tc>
          <w:tcPr>
            <w:tcW w:w="2940" w:type="dxa"/>
          </w:tcPr>
          <w:p w14:paraId="44F2D307" w14:textId="44744C93"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lastRenderedPageBreak/>
              <w:t xml:space="preserve">Full </w:t>
            </w:r>
            <w:r w:rsidR="00601CF9" w:rsidRPr="00B81D1B">
              <w:rPr>
                <w:rFonts w:ascii="Times New Roman" w:hAnsi="Times New Roman" w:cs="Times New Roman"/>
                <w:color w:val="0D0D0D" w:themeColor="text1" w:themeTint="F2"/>
                <w:sz w:val="24"/>
                <w:szCs w:val="24"/>
              </w:rPr>
              <w:t>text</w:t>
            </w:r>
            <w:r w:rsidR="00122A50" w:rsidRPr="00B81D1B">
              <w:rPr>
                <w:rFonts w:ascii="Times New Roman" w:hAnsi="Times New Roman" w:cs="Times New Roman"/>
                <w:color w:val="0D0D0D" w:themeColor="text1" w:themeTint="F2"/>
                <w:sz w:val="24"/>
                <w:szCs w:val="24"/>
              </w:rPr>
              <w:t xml:space="preserve"> paper </w:t>
            </w:r>
            <w:r w:rsidRPr="00B81D1B">
              <w:rPr>
                <w:rFonts w:ascii="Times New Roman" w:hAnsi="Times New Roman" w:cs="Times New Roman"/>
                <w:color w:val="0D0D0D" w:themeColor="text1" w:themeTint="F2"/>
                <w:sz w:val="24"/>
                <w:szCs w:val="24"/>
              </w:rPr>
              <w:t>not available</w:t>
            </w:r>
          </w:p>
        </w:tc>
      </w:tr>
      <w:tr w:rsidR="006E5A74" w:rsidRPr="00B81D1B" w14:paraId="44F2D314" w14:textId="77777777" w:rsidTr="008B5BFD">
        <w:trPr>
          <w:trHeight w:val="378"/>
        </w:trPr>
        <w:tc>
          <w:tcPr>
            <w:tcW w:w="585" w:type="dxa"/>
          </w:tcPr>
          <w:p w14:paraId="44F2D311" w14:textId="12E97EF9" w:rsidR="006E5A74" w:rsidRPr="00B81D1B" w:rsidRDefault="00A463F3"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9</w:t>
            </w:r>
          </w:p>
        </w:tc>
        <w:tc>
          <w:tcPr>
            <w:tcW w:w="6502" w:type="dxa"/>
          </w:tcPr>
          <w:p w14:paraId="44F2D312"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KartalYandim M, Kozanoglu I, Ozdogu H, Piskin O, Ozcan MA, Saydam G, et al. Discovering alternative targets in chronic myeloid leukemia (CML): Determination of expression levels of bioactive sphingolipid genes in newly diagnosed and drug-resistant CML patients. Haematologica. 2015;100((KartalYandim M.; Baran Y.) Molecular Biology and Genetics, Izmir Institute of Technology, Izmir, Turkey):432.</w:t>
            </w:r>
          </w:p>
        </w:tc>
        <w:tc>
          <w:tcPr>
            <w:tcW w:w="2940" w:type="dxa"/>
          </w:tcPr>
          <w:p w14:paraId="44F2D313"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Conference Abstract</w:t>
            </w:r>
          </w:p>
        </w:tc>
      </w:tr>
      <w:tr w:rsidR="006E5A74" w:rsidRPr="00B81D1B" w14:paraId="44F2D318" w14:textId="77777777" w:rsidTr="008B5BFD">
        <w:trPr>
          <w:trHeight w:val="378"/>
        </w:trPr>
        <w:tc>
          <w:tcPr>
            <w:tcW w:w="585" w:type="dxa"/>
          </w:tcPr>
          <w:p w14:paraId="44F2D315" w14:textId="28AE6A66"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w:t>
            </w:r>
            <w:r w:rsidR="00A463F3" w:rsidRPr="00B81D1B">
              <w:rPr>
                <w:rFonts w:ascii="Times New Roman" w:hAnsi="Times New Roman" w:cs="Times New Roman"/>
                <w:color w:val="0D0D0D" w:themeColor="text1" w:themeTint="F2"/>
                <w:sz w:val="24"/>
                <w:szCs w:val="24"/>
              </w:rPr>
              <w:t>0</w:t>
            </w:r>
          </w:p>
        </w:tc>
        <w:tc>
          <w:tcPr>
            <w:tcW w:w="6502" w:type="dxa"/>
          </w:tcPr>
          <w:p w14:paraId="44F2D316"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Lewis AC, D’Andrea R, Powell JA, Pitson SM. Dual sphingosine kinase and BCL-2 inhibition exhibits synergistic cell death in acute myeloid leukemia. Blood [Internet]. 2017;130((Lewis A.C.) Centre for Cancer Biology, SA Pathology, University of South Australia, Australia). Available from: </w:t>
            </w:r>
            <w:hyperlink r:id="rId5" w:history="1">
              <w:r w:rsidRPr="00B81D1B">
                <w:rPr>
                  <w:rStyle w:val="Hyperlink"/>
                  <w:rFonts w:ascii="Times New Roman" w:hAnsi="Times New Roman" w:cs="Times New Roman"/>
                  <w:color w:val="0D0D0D" w:themeColor="text1" w:themeTint="F2"/>
                  <w:sz w:val="24"/>
                  <w:szCs w:val="24"/>
                </w:rPr>
                <w:t>https://www.embase.com/search/results?subaction=viewrecord&amp;id=L620385243&amp;from=export</w:t>
              </w:r>
            </w:hyperlink>
          </w:p>
        </w:tc>
        <w:tc>
          <w:tcPr>
            <w:tcW w:w="2940" w:type="dxa"/>
          </w:tcPr>
          <w:p w14:paraId="44F2D317"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Poster </w:t>
            </w:r>
          </w:p>
        </w:tc>
      </w:tr>
      <w:tr w:rsidR="006E5A74" w:rsidRPr="00B81D1B" w14:paraId="44F2D31D" w14:textId="77777777" w:rsidTr="008B5BFD">
        <w:trPr>
          <w:trHeight w:val="378"/>
        </w:trPr>
        <w:tc>
          <w:tcPr>
            <w:tcW w:w="585" w:type="dxa"/>
          </w:tcPr>
          <w:p w14:paraId="44F2D319" w14:textId="70B07AB5"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w:t>
            </w:r>
            <w:r w:rsidR="002D480C" w:rsidRPr="00B81D1B">
              <w:rPr>
                <w:rFonts w:ascii="Times New Roman" w:hAnsi="Times New Roman" w:cs="Times New Roman"/>
                <w:color w:val="0D0D0D" w:themeColor="text1" w:themeTint="F2"/>
                <w:sz w:val="24"/>
                <w:szCs w:val="24"/>
              </w:rPr>
              <w:t>1</w:t>
            </w:r>
          </w:p>
        </w:tc>
        <w:tc>
          <w:tcPr>
            <w:tcW w:w="6502" w:type="dxa"/>
          </w:tcPr>
          <w:p w14:paraId="44F2D31A"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Brown TJ, Barth B, Claxton DF. Enhancing ceramide cytotoxicity in acute Myelogenous Leukemia. Blood [Internet]. 2012;120(21).Available from: </w:t>
            </w:r>
          </w:p>
          <w:p w14:paraId="44F2D31B" w14:textId="77777777" w:rsidR="006E5A74" w:rsidRPr="00B81D1B" w:rsidRDefault="00000000" w:rsidP="0083237C">
            <w:pPr>
              <w:jc w:val="both"/>
              <w:rPr>
                <w:rFonts w:ascii="Times New Roman" w:hAnsi="Times New Roman" w:cs="Times New Roman"/>
                <w:color w:val="0D0D0D" w:themeColor="text1" w:themeTint="F2"/>
                <w:sz w:val="24"/>
                <w:szCs w:val="24"/>
              </w:rPr>
            </w:pPr>
            <w:hyperlink r:id="rId6" w:history="1">
              <w:r w:rsidR="006E5A74" w:rsidRPr="00B81D1B">
                <w:rPr>
                  <w:rStyle w:val="Hyperlink"/>
                  <w:rFonts w:ascii="Times New Roman" w:hAnsi="Times New Roman" w:cs="Times New Roman"/>
                  <w:color w:val="0D0D0D" w:themeColor="text1" w:themeTint="F2"/>
                  <w:sz w:val="24"/>
                  <w:szCs w:val="24"/>
                </w:rPr>
                <w:t>https://www.embase.com/search/results?subaction=viewrecord&amp;id=L70961817&amp;from=export</w:t>
              </w:r>
            </w:hyperlink>
          </w:p>
        </w:tc>
        <w:tc>
          <w:tcPr>
            <w:tcW w:w="2940" w:type="dxa"/>
          </w:tcPr>
          <w:p w14:paraId="44F2D31C" w14:textId="6881AD3B"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Full </w:t>
            </w:r>
            <w:r w:rsidR="00AF58D3" w:rsidRPr="00B81D1B">
              <w:rPr>
                <w:rFonts w:ascii="Times New Roman" w:hAnsi="Times New Roman" w:cs="Times New Roman"/>
                <w:color w:val="0D0D0D" w:themeColor="text1" w:themeTint="F2"/>
                <w:sz w:val="24"/>
                <w:szCs w:val="24"/>
              </w:rPr>
              <w:t>text</w:t>
            </w:r>
            <w:r w:rsidR="002E0748" w:rsidRPr="00B81D1B">
              <w:rPr>
                <w:rFonts w:ascii="Times New Roman" w:hAnsi="Times New Roman" w:cs="Times New Roman"/>
                <w:color w:val="0D0D0D" w:themeColor="text1" w:themeTint="F2"/>
                <w:sz w:val="24"/>
                <w:szCs w:val="24"/>
              </w:rPr>
              <w:t xml:space="preserve"> paper not available</w:t>
            </w:r>
          </w:p>
        </w:tc>
      </w:tr>
      <w:tr w:rsidR="006E5A74" w:rsidRPr="00B81D1B" w14:paraId="44F2D322" w14:textId="77777777" w:rsidTr="008B5BFD">
        <w:trPr>
          <w:trHeight w:val="378"/>
        </w:trPr>
        <w:tc>
          <w:tcPr>
            <w:tcW w:w="585" w:type="dxa"/>
          </w:tcPr>
          <w:p w14:paraId="44F2D31E" w14:textId="6BC18CF1"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w:t>
            </w:r>
            <w:r w:rsidR="00777E0F" w:rsidRPr="00B81D1B">
              <w:rPr>
                <w:rFonts w:ascii="Times New Roman" w:hAnsi="Times New Roman" w:cs="Times New Roman"/>
                <w:color w:val="0D0D0D" w:themeColor="text1" w:themeTint="F2"/>
                <w:sz w:val="24"/>
                <w:szCs w:val="24"/>
              </w:rPr>
              <w:t>2</w:t>
            </w:r>
          </w:p>
        </w:tc>
        <w:tc>
          <w:tcPr>
            <w:tcW w:w="6502" w:type="dxa"/>
          </w:tcPr>
          <w:p w14:paraId="44F2D31F"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Wallington-Beddoe CT, Pitson SM, Powell JA, Bradstock KF, Bendall LJ. Evaluation of sphingosine kinase 1 as a therapeutic target in B-lineage acute lymphoblastic leukemia. Blood [Internet]. 2013;122(21). Available from: </w:t>
            </w:r>
          </w:p>
          <w:p w14:paraId="44F2D320" w14:textId="77777777" w:rsidR="006E5A74" w:rsidRPr="00B81D1B" w:rsidRDefault="00000000" w:rsidP="0083237C">
            <w:pPr>
              <w:jc w:val="both"/>
              <w:rPr>
                <w:rFonts w:ascii="Times New Roman" w:hAnsi="Times New Roman" w:cs="Times New Roman"/>
                <w:color w:val="0D0D0D" w:themeColor="text1" w:themeTint="F2"/>
                <w:sz w:val="24"/>
                <w:szCs w:val="24"/>
              </w:rPr>
            </w:pPr>
            <w:hyperlink r:id="rId7" w:history="1">
              <w:r w:rsidR="006E5A74" w:rsidRPr="00B81D1B">
                <w:rPr>
                  <w:rStyle w:val="Hyperlink"/>
                  <w:rFonts w:ascii="Times New Roman" w:hAnsi="Times New Roman" w:cs="Times New Roman"/>
                  <w:color w:val="0D0D0D" w:themeColor="text1" w:themeTint="F2"/>
                  <w:sz w:val="24"/>
                  <w:szCs w:val="24"/>
                </w:rPr>
                <w:t>https://www.embase.com/search/results?subaction=viewrecord&amp;id=L71265032&amp;from=export</w:t>
              </w:r>
            </w:hyperlink>
          </w:p>
        </w:tc>
        <w:tc>
          <w:tcPr>
            <w:tcW w:w="2940" w:type="dxa"/>
          </w:tcPr>
          <w:p w14:paraId="44F2D321"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Poster </w:t>
            </w:r>
          </w:p>
        </w:tc>
      </w:tr>
      <w:tr w:rsidR="006E5A74" w:rsidRPr="00B81D1B" w14:paraId="44F2D326" w14:textId="77777777" w:rsidTr="008B5BFD">
        <w:trPr>
          <w:trHeight w:val="378"/>
        </w:trPr>
        <w:tc>
          <w:tcPr>
            <w:tcW w:w="585" w:type="dxa"/>
          </w:tcPr>
          <w:p w14:paraId="44F2D323" w14:textId="35526486"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w:t>
            </w:r>
            <w:r w:rsidR="00777E0F" w:rsidRPr="00B81D1B">
              <w:rPr>
                <w:rFonts w:ascii="Times New Roman" w:hAnsi="Times New Roman" w:cs="Times New Roman"/>
                <w:color w:val="0D0D0D" w:themeColor="text1" w:themeTint="F2"/>
                <w:sz w:val="24"/>
                <w:szCs w:val="24"/>
              </w:rPr>
              <w:t>3</w:t>
            </w:r>
          </w:p>
        </w:tc>
        <w:tc>
          <w:tcPr>
            <w:tcW w:w="6502" w:type="dxa"/>
          </w:tcPr>
          <w:p w14:paraId="44F2D324" w14:textId="23BDBEAE"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KartalYandim M, Kozanoglu I, Ozdogu H, Piskin O, Ozcan MA, Saydam G, et al. Expression levels of ceramide-generating and clearance genes in newly diagnosed and tyrosine kinase inhibitor</w:t>
            </w:r>
            <w:r w:rsidR="00D2116C">
              <w:rPr>
                <w:rFonts w:ascii="Times New Roman" w:eastAsia="Times New Roman" w:hAnsi="Times New Roman" w:cs="Times New Roman"/>
                <w:color w:val="0D0D0D" w:themeColor="text1" w:themeTint="F2"/>
                <w:sz w:val="24"/>
                <w:szCs w:val="24"/>
              </w:rPr>
              <w:t xml:space="preserve"> </w:t>
            </w:r>
            <w:r w:rsidRPr="00B81D1B">
              <w:rPr>
                <w:rFonts w:ascii="Times New Roman" w:eastAsia="Times New Roman" w:hAnsi="Times New Roman" w:cs="Times New Roman"/>
                <w:color w:val="0D0D0D" w:themeColor="text1" w:themeTint="F2"/>
                <w:sz w:val="24"/>
                <w:szCs w:val="24"/>
              </w:rPr>
              <w:t>resistant chronic myeloid leukemia patients: An attempt to find novel targets. Haematologica. 2014;99((KartalYandim M.; Baran Y.) Molecular Biology and Genetics, Izmir Institute of Technology, Izmir, Turkey):69–70.</w:t>
            </w:r>
          </w:p>
        </w:tc>
        <w:tc>
          <w:tcPr>
            <w:tcW w:w="2940" w:type="dxa"/>
          </w:tcPr>
          <w:p w14:paraId="44F2D325" w14:textId="713A4448" w:rsidR="006E5A74" w:rsidRPr="00B81D1B" w:rsidRDefault="001217A5"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F</w:t>
            </w:r>
            <w:r w:rsidR="006E5A74" w:rsidRPr="00B81D1B">
              <w:rPr>
                <w:rFonts w:ascii="Times New Roman" w:hAnsi="Times New Roman" w:cs="Times New Roman"/>
                <w:color w:val="0D0D0D" w:themeColor="text1" w:themeTint="F2"/>
                <w:sz w:val="24"/>
                <w:szCs w:val="24"/>
              </w:rPr>
              <w:t xml:space="preserve">ull </w:t>
            </w:r>
            <w:r w:rsidR="00AF58D3" w:rsidRPr="00B81D1B">
              <w:rPr>
                <w:rFonts w:ascii="Times New Roman" w:hAnsi="Times New Roman" w:cs="Times New Roman"/>
                <w:color w:val="0D0D0D" w:themeColor="text1" w:themeTint="F2"/>
                <w:sz w:val="24"/>
                <w:szCs w:val="24"/>
              </w:rPr>
              <w:t>text</w:t>
            </w:r>
            <w:r w:rsidR="002E0748" w:rsidRPr="00B81D1B">
              <w:rPr>
                <w:rFonts w:ascii="Times New Roman" w:hAnsi="Times New Roman" w:cs="Times New Roman"/>
                <w:color w:val="0D0D0D" w:themeColor="text1" w:themeTint="F2"/>
                <w:sz w:val="24"/>
                <w:szCs w:val="24"/>
              </w:rPr>
              <w:t xml:space="preserve"> paper</w:t>
            </w:r>
            <w:r w:rsidR="006E5A74" w:rsidRPr="00B81D1B">
              <w:rPr>
                <w:rFonts w:ascii="Times New Roman" w:hAnsi="Times New Roman" w:cs="Times New Roman"/>
                <w:color w:val="0D0D0D" w:themeColor="text1" w:themeTint="F2"/>
                <w:sz w:val="24"/>
                <w:szCs w:val="24"/>
              </w:rPr>
              <w:t xml:space="preserve"> not available </w:t>
            </w:r>
          </w:p>
        </w:tc>
      </w:tr>
      <w:tr w:rsidR="006E5A74" w:rsidRPr="00B81D1B" w14:paraId="44F2D32A" w14:textId="77777777" w:rsidTr="008B5BFD">
        <w:trPr>
          <w:trHeight w:val="378"/>
        </w:trPr>
        <w:tc>
          <w:tcPr>
            <w:tcW w:w="585" w:type="dxa"/>
          </w:tcPr>
          <w:p w14:paraId="44F2D327" w14:textId="4A0BB42E" w:rsidR="006E5A74" w:rsidRPr="00B81D1B" w:rsidRDefault="00777E0F"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14</w:t>
            </w:r>
          </w:p>
        </w:tc>
        <w:tc>
          <w:tcPr>
            <w:tcW w:w="6502" w:type="dxa"/>
          </w:tcPr>
          <w:p w14:paraId="44F2D328" w14:textId="6A2EAA0F"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KartalYandim M, Kozanoglu I, Ozdogu H, Piskin O, Ozcan M, Saydam G, et al. Expression levels of ceramide-</w:t>
            </w:r>
            <w:r w:rsidR="00D2116C" w:rsidRPr="00B81D1B">
              <w:rPr>
                <w:rFonts w:ascii="Times New Roman" w:eastAsia="Times New Roman" w:hAnsi="Times New Roman" w:cs="Times New Roman"/>
                <w:color w:val="0D0D0D" w:themeColor="text1" w:themeTint="F2"/>
                <w:sz w:val="24"/>
                <w:szCs w:val="24"/>
              </w:rPr>
              <w:t>metaboli</w:t>
            </w:r>
            <w:r w:rsidR="00D2116C">
              <w:rPr>
                <w:rFonts w:ascii="Times New Roman" w:eastAsia="Times New Roman" w:hAnsi="Times New Roman" w:cs="Times New Roman"/>
                <w:color w:val="0D0D0D" w:themeColor="text1" w:themeTint="F2"/>
                <w:sz w:val="24"/>
                <w:szCs w:val="24"/>
              </w:rPr>
              <w:t>s</w:t>
            </w:r>
            <w:r w:rsidR="00D2116C" w:rsidRPr="00B81D1B">
              <w:rPr>
                <w:rFonts w:ascii="Times New Roman" w:eastAsia="Times New Roman" w:hAnsi="Times New Roman" w:cs="Times New Roman"/>
                <w:color w:val="0D0D0D" w:themeColor="text1" w:themeTint="F2"/>
                <w:sz w:val="24"/>
                <w:szCs w:val="24"/>
              </w:rPr>
              <w:t>ing</w:t>
            </w:r>
            <w:r w:rsidRPr="00B81D1B">
              <w:rPr>
                <w:rFonts w:ascii="Times New Roman" w:eastAsia="Times New Roman" w:hAnsi="Times New Roman" w:cs="Times New Roman"/>
                <w:color w:val="0D0D0D" w:themeColor="text1" w:themeTint="F2"/>
                <w:sz w:val="24"/>
                <w:szCs w:val="24"/>
              </w:rPr>
              <w:t xml:space="preserve"> genes in newly diagnosed and tyrosine kinase inhibitor-resistant chronic myeloid leukemia (CML) patients: The discovery of novel targets in CML. Leuk Res. 2014;38((KartalYandim M.; Baran Y.) Izmir Institute of Technology, Department of Molecular Biology and Genetics, Izmir, Turkey):S47.</w:t>
            </w:r>
          </w:p>
        </w:tc>
        <w:tc>
          <w:tcPr>
            <w:tcW w:w="2940" w:type="dxa"/>
          </w:tcPr>
          <w:p w14:paraId="44F2D329" w14:textId="42E6213C"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Duplication of study no. 1</w:t>
            </w:r>
            <w:r w:rsidR="00712724" w:rsidRPr="00B81D1B">
              <w:rPr>
                <w:rFonts w:ascii="Times New Roman" w:hAnsi="Times New Roman" w:cs="Times New Roman"/>
                <w:color w:val="0D0D0D" w:themeColor="text1" w:themeTint="F2"/>
                <w:sz w:val="24"/>
                <w:szCs w:val="24"/>
              </w:rPr>
              <w:t>3</w:t>
            </w:r>
          </w:p>
        </w:tc>
      </w:tr>
      <w:tr w:rsidR="006E5A74" w:rsidRPr="00B81D1B" w14:paraId="44F2D32F" w14:textId="77777777" w:rsidTr="008B5BFD">
        <w:trPr>
          <w:trHeight w:val="378"/>
        </w:trPr>
        <w:tc>
          <w:tcPr>
            <w:tcW w:w="585" w:type="dxa"/>
          </w:tcPr>
          <w:p w14:paraId="44F2D32B" w14:textId="52DDEDE4" w:rsidR="006E5A74" w:rsidRPr="00B81D1B" w:rsidRDefault="00366C8C"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15</w:t>
            </w:r>
          </w:p>
        </w:tc>
        <w:tc>
          <w:tcPr>
            <w:tcW w:w="6502" w:type="dxa"/>
          </w:tcPr>
          <w:p w14:paraId="44F2D32C"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 xml:space="preserve"> LeBlanc FR, Wang H-G, Feith DJ, Loughran Jr. TP. FTY720 (fingolimod) targets the sphingolipid pathway and induces autophagy-related apoptosis in human natural killer large granular lymphocyte leukemia. Blood. 2015;126(23):1288.</w:t>
            </w:r>
          </w:p>
        </w:tc>
        <w:tc>
          <w:tcPr>
            <w:tcW w:w="2940" w:type="dxa"/>
          </w:tcPr>
          <w:p w14:paraId="44F2D32D"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Poster</w:t>
            </w:r>
          </w:p>
          <w:p w14:paraId="44F2D32E" w14:textId="77777777" w:rsidR="006E5A74" w:rsidRPr="00B81D1B" w:rsidRDefault="006E5A74" w:rsidP="0083237C">
            <w:pPr>
              <w:jc w:val="both"/>
              <w:rPr>
                <w:rFonts w:ascii="Times New Roman" w:hAnsi="Times New Roman" w:cs="Times New Roman"/>
                <w:color w:val="0D0D0D" w:themeColor="text1" w:themeTint="F2"/>
                <w:sz w:val="24"/>
                <w:szCs w:val="24"/>
              </w:rPr>
            </w:pPr>
          </w:p>
        </w:tc>
      </w:tr>
      <w:tr w:rsidR="006E5A74" w:rsidRPr="00B81D1B" w14:paraId="44F2D333" w14:textId="77777777" w:rsidTr="008B5BFD">
        <w:trPr>
          <w:trHeight w:val="378"/>
        </w:trPr>
        <w:tc>
          <w:tcPr>
            <w:tcW w:w="585" w:type="dxa"/>
          </w:tcPr>
          <w:p w14:paraId="44F2D330" w14:textId="42517485" w:rsidR="006E5A74" w:rsidRPr="00B81D1B" w:rsidRDefault="00CE09ED"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lastRenderedPageBreak/>
              <w:t>16</w:t>
            </w:r>
          </w:p>
        </w:tc>
        <w:tc>
          <w:tcPr>
            <w:tcW w:w="6502" w:type="dxa"/>
          </w:tcPr>
          <w:p w14:paraId="44F2D331" w14:textId="1025BA40"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Petrusca DN, Park C, Crean C, Toscani D, Anderson J, Silbermann R, et al. Gfi1 modulation of SphK1 maintains growth and survival of myeloma cells. J Bone Miner Res. 2017;32((Petrusca D.N.) Indiana University, Department of Medicine/Hematology-Oncology, United States</w:t>
            </w:r>
            <w:r w:rsidR="003A2169" w:rsidRPr="00B81D1B">
              <w:rPr>
                <w:rFonts w:ascii="Times New Roman" w:eastAsia="Times New Roman" w:hAnsi="Times New Roman" w:cs="Times New Roman"/>
                <w:color w:val="0D0D0D" w:themeColor="text1" w:themeTint="F2"/>
                <w:sz w:val="24"/>
                <w:szCs w:val="24"/>
              </w:rPr>
              <w:t>): S</w:t>
            </w:r>
            <w:r w:rsidRPr="00B81D1B">
              <w:rPr>
                <w:rFonts w:ascii="Times New Roman" w:eastAsia="Times New Roman" w:hAnsi="Times New Roman" w:cs="Times New Roman"/>
                <w:color w:val="0D0D0D" w:themeColor="text1" w:themeTint="F2"/>
                <w:sz w:val="24"/>
                <w:szCs w:val="24"/>
              </w:rPr>
              <w:t>65.</w:t>
            </w:r>
          </w:p>
        </w:tc>
        <w:tc>
          <w:tcPr>
            <w:tcW w:w="2940" w:type="dxa"/>
          </w:tcPr>
          <w:p w14:paraId="44F2D332"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Abstract presentation at 2017 Annual Meeting of the</w:t>
            </w:r>
            <w:r w:rsidRPr="00B81D1B">
              <w:rPr>
                <w:rFonts w:ascii="Times New Roman" w:hAnsi="Times New Roman" w:cs="Times New Roman"/>
                <w:color w:val="0D0D0D" w:themeColor="text1" w:themeTint="F2"/>
                <w:sz w:val="24"/>
                <w:szCs w:val="24"/>
              </w:rPr>
              <w:br/>
              <w:t>American Society for Bone and Mineral Research</w:t>
            </w:r>
          </w:p>
        </w:tc>
      </w:tr>
      <w:tr w:rsidR="006E5A74" w:rsidRPr="00B81D1B" w14:paraId="44F2D338" w14:textId="77777777" w:rsidTr="008B5BFD">
        <w:trPr>
          <w:trHeight w:val="378"/>
        </w:trPr>
        <w:tc>
          <w:tcPr>
            <w:tcW w:w="585" w:type="dxa"/>
          </w:tcPr>
          <w:p w14:paraId="44F2D334" w14:textId="2A55A7BD" w:rsidR="006E5A74" w:rsidRPr="00B81D1B" w:rsidRDefault="00CE09ED"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17</w:t>
            </w:r>
          </w:p>
        </w:tc>
        <w:tc>
          <w:tcPr>
            <w:tcW w:w="6502" w:type="dxa"/>
          </w:tcPr>
          <w:p w14:paraId="44F2D335"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Toscani D, Park C, Wang F, Anderson J, Giuliani N, David Roodman G, et al. Gfi1 transcription factor is a pro-survival molecule in multiple myeloma cells. Blood [Internet]. 2016;128(22). Available from:  </w:t>
            </w:r>
          </w:p>
          <w:p w14:paraId="44F2D336" w14:textId="77777777" w:rsidR="006E5A74" w:rsidRPr="00B81D1B" w:rsidRDefault="00000000" w:rsidP="0083237C">
            <w:pPr>
              <w:jc w:val="both"/>
              <w:rPr>
                <w:rFonts w:ascii="Times New Roman" w:hAnsi="Times New Roman" w:cs="Times New Roman"/>
                <w:color w:val="0D0D0D" w:themeColor="text1" w:themeTint="F2"/>
                <w:sz w:val="24"/>
                <w:szCs w:val="24"/>
              </w:rPr>
            </w:pPr>
            <w:hyperlink r:id="rId8" w:history="1">
              <w:r w:rsidR="006E5A74" w:rsidRPr="00B81D1B">
                <w:rPr>
                  <w:rStyle w:val="Hyperlink"/>
                  <w:rFonts w:ascii="Times New Roman" w:hAnsi="Times New Roman" w:cs="Times New Roman"/>
                  <w:color w:val="0D0D0D" w:themeColor="text1" w:themeTint="F2"/>
                  <w:sz w:val="24"/>
                  <w:szCs w:val="24"/>
                </w:rPr>
                <w:t>https://www.embase.com/search/results?subaction=viewrecord&amp;id=L614309298&amp;from=export</w:t>
              </w:r>
            </w:hyperlink>
          </w:p>
        </w:tc>
        <w:tc>
          <w:tcPr>
            <w:tcW w:w="2940" w:type="dxa"/>
          </w:tcPr>
          <w:p w14:paraId="44F2D337"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Poster</w:t>
            </w:r>
          </w:p>
        </w:tc>
      </w:tr>
      <w:tr w:rsidR="006E5A74" w:rsidRPr="00B81D1B" w14:paraId="44F2D33C" w14:textId="77777777" w:rsidTr="008B5BFD">
        <w:trPr>
          <w:trHeight w:val="378"/>
        </w:trPr>
        <w:tc>
          <w:tcPr>
            <w:tcW w:w="585" w:type="dxa"/>
          </w:tcPr>
          <w:p w14:paraId="44F2D339" w14:textId="3EB618FF" w:rsidR="006E5A74" w:rsidRPr="00B81D1B" w:rsidRDefault="00DB3BA2"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18</w:t>
            </w:r>
          </w:p>
        </w:tc>
        <w:tc>
          <w:tcPr>
            <w:tcW w:w="6502" w:type="dxa"/>
          </w:tcPr>
          <w:p w14:paraId="44F2D33A"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Petrusca DN, Berdyshev E, Crean CD, Anderson JL, Roodman GD. GFI1-Dependent SGPP1 Repression Promotes Growth and Survival of Myeloma Cells. Blood. 2019;134((Petrusca D.N.; Crean C.D.; Anderson J.L.) Medicine/Hematology and Oncology, Indiana University School of Medicine, Indianapolis, IN, United States):4387</w:t>
            </w:r>
          </w:p>
        </w:tc>
        <w:tc>
          <w:tcPr>
            <w:tcW w:w="2940" w:type="dxa"/>
          </w:tcPr>
          <w:p w14:paraId="44F2D33B"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Annual meeting abstract</w:t>
            </w:r>
          </w:p>
        </w:tc>
      </w:tr>
      <w:tr w:rsidR="001015C8" w:rsidRPr="00B81D1B" w14:paraId="297080AB" w14:textId="77777777" w:rsidTr="008B5BFD">
        <w:trPr>
          <w:trHeight w:val="378"/>
        </w:trPr>
        <w:tc>
          <w:tcPr>
            <w:tcW w:w="585" w:type="dxa"/>
          </w:tcPr>
          <w:p w14:paraId="12E64E08" w14:textId="59880BEF" w:rsidR="001015C8" w:rsidRPr="00B81D1B" w:rsidRDefault="001015C8"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19</w:t>
            </w:r>
          </w:p>
        </w:tc>
        <w:tc>
          <w:tcPr>
            <w:tcW w:w="6502" w:type="dxa"/>
          </w:tcPr>
          <w:p w14:paraId="2FD97E70" w14:textId="4B5387C7" w:rsidR="001015C8" w:rsidRPr="00B81D1B" w:rsidRDefault="001015C8" w:rsidP="0083237C">
            <w:pPr>
              <w:jc w:val="both"/>
              <w:rPr>
                <w:rFonts w:ascii="Times New Roman" w:eastAsia="Times New Roman" w:hAnsi="Times New Roman" w:cs="Times New Roman"/>
                <w:sz w:val="24"/>
                <w:szCs w:val="24"/>
                <w:lang w:val="en-IN" w:eastAsia="en-IN"/>
              </w:rPr>
            </w:pPr>
            <w:r w:rsidRPr="00B81D1B">
              <w:rPr>
                <w:rFonts w:ascii="Times New Roman" w:eastAsia="Times New Roman" w:hAnsi="Times New Roman" w:cs="Times New Roman"/>
                <w:sz w:val="24"/>
                <w:szCs w:val="24"/>
                <w:lang w:val="en-IN" w:eastAsia="en-IN"/>
              </w:rPr>
              <w:t>Gao S, Guo T, Luo S, Zhang Y, Ren Z, Lang X, et al. Growth Inhibitory and Pro-Apoptotic Effects of Hirsuteine in Chronic Myeloid Leukemia Cells through Targeting Sphingosine Kinase 1. Biomol Ther. 2022;30(6):553–61.</w:t>
            </w:r>
          </w:p>
          <w:p w14:paraId="284C4407" w14:textId="77777777" w:rsidR="001015C8" w:rsidRPr="00B81D1B" w:rsidRDefault="001015C8" w:rsidP="0083237C">
            <w:pPr>
              <w:jc w:val="both"/>
              <w:rPr>
                <w:rFonts w:ascii="Times New Roman" w:eastAsia="Times New Roman" w:hAnsi="Times New Roman" w:cs="Times New Roman"/>
                <w:color w:val="0D0D0D" w:themeColor="text1" w:themeTint="F2"/>
                <w:sz w:val="24"/>
                <w:szCs w:val="24"/>
              </w:rPr>
            </w:pPr>
          </w:p>
        </w:tc>
        <w:tc>
          <w:tcPr>
            <w:tcW w:w="2940" w:type="dxa"/>
          </w:tcPr>
          <w:p w14:paraId="6CDFBC46" w14:textId="77777777" w:rsidR="001015C8" w:rsidRPr="00B81D1B" w:rsidRDefault="001015C8" w:rsidP="0083237C">
            <w:pPr>
              <w:jc w:val="both"/>
              <w:rPr>
                <w:rFonts w:ascii="Times New Roman" w:hAnsi="Times New Roman" w:cs="Times New Roman"/>
                <w:color w:val="0D0D0D" w:themeColor="text1" w:themeTint="F2"/>
                <w:sz w:val="24"/>
                <w:szCs w:val="24"/>
              </w:rPr>
            </w:pPr>
          </w:p>
          <w:p w14:paraId="10DA8016" w14:textId="5AF061A8" w:rsidR="000734B8" w:rsidRPr="00B81D1B" w:rsidRDefault="000734B8"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Cell line study</w:t>
            </w:r>
          </w:p>
        </w:tc>
      </w:tr>
      <w:tr w:rsidR="006E5A74" w:rsidRPr="00B81D1B" w14:paraId="44F2D345" w14:textId="77777777" w:rsidTr="00D2116C">
        <w:trPr>
          <w:trHeight w:val="1537"/>
        </w:trPr>
        <w:tc>
          <w:tcPr>
            <w:tcW w:w="585" w:type="dxa"/>
          </w:tcPr>
          <w:p w14:paraId="44F2D342" w14:textId="2FBAA5C5"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w:t>
            </w:r>
            <w:r w:rsidR="00185BCA" w:rsidRPr="00B81D1B">
              <w:rPr>
                <w:rFonts w:ascii="Times New Roman" w:hAnsi="Times New Roman" w:cs="Times New Roman"/>
                <w:color w:val="0D0D0D" w:themeColor="text1" w:themeTint="F2"/>
                <w:sz w:val="24"/>
                <w:szCs w:val="24"/>
              </w:rPr>
              <w:t>0</w:t>
            </w:r>
          </w:p>
        </w:tc>
        <w:tc>
          <w:tcPr>
            <w:tcW w:w="6502" w:type="dxa"/>
          </w:tcPr>
          <w:p w14:paraId="44F2D343"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Sobue S, Nemoto S, Murakami M, Ito H, Kimura A, Gao S, et al. Implications of sphingosine kinase 1 expression level for the cellular sphingolipid rheostat: relevance as a marker for daunorubicin sensitivity of leukemia cells. Int J Hematol. 2008 Apr;87(3):266–75.</w:t>
            </w:r>
          </w:p>
        </w:tc>
        <w:tc>
          <w:tcPr>
            <w:tcW w:w="2940" w:type="dxa"/>
          </w:tcPr>
          <w:p w14:paraId="44F2D344"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Cell line study</w:t>
            </w:r>
          </w:p>
        </w:tc>
      </w:tr>
      <w:tr w:rsidR="006E5A74" w:rsidRPr="00B81D1B" w14:paraId="44F2D349" w14:textId="77777777" w:rsidTr="008B5BFD">
        <w:trPr>
          <w:trHeight w:val="378"/>
        </w:trPr>
        <w:tc>
          <w:tcPr>
            <w:tcW w:w="585" w:type="dxa"/>
          </w:tcPr>
          <w:p w14:paraId="44F2D346" w14:textId="7234F6A2"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w:t>
            </w:r>
            <w:r w:rsidR="00682BA5" w:rsidRPr="00B81D1B">
              <w:rPr>
                <w:rFonts w:ascii="Times New Roman" w:hAnsi="Times New Roman" w:cs="Times New Roman"/>
                <w:color w:val="0D0D0D" w:themeColor="text1" w:themeTint="F2"/>
                <w:sz w:val="24"/>
                <w:szCs w:val="24"/>
              </w:rPr>
              <w:t>1</w:t>
            </w:r>
          </w:p>
        </w:tc>
        <w:tc>
          <w:tcPr>
            <w:tcW w:w="6502" w:type="dxa"/>
          </w:tcPr>
          <w:p w14:paraId="44F2D347"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Ricci C, Onida F, Servida F, Radaelli F, Saporiti G, Todoerti K, et al. In vitro anti-leukaemia activity of sphingosine kinase inhibitor. Br J Haematol. 2009 Feb;144(3):350–7.</w:t>
            </w:r>
          </w:p>
        </w:tc>
        <w:tc>
          <w:tcPr>
            <w:tcW w:w="2940" w:type="dxa"/>
          </w:tcPr>
          <w:p w14:paraId="44F2D348"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SphK1 activity is not reported from patient’s sample</w:t>
            </w:r>
          </w:p>
        </w:tc>
      </w:tr>
      <w:tr w:rsidR="006E5A74" w:rsidRPr="00B81D1B" w14:paraId="44F2D35F" w14:textId="77777777" w:rsidTr="008B5BFD">
        <w:trPr>
          <w:trHeight w:val="378"/>
        </w:trPr>
        <w:tc>
          <w:tcPr>
            <w:tcW w:w="585" w:type="dxa"/>
          </w:tcPr>
          <w:p w14:paraId="44F2D35C" w14:textId="5D808E5B" w:rsidR="006E5A74" w:rsidRPr="00B81D1B" w:rsidRDefault="00545AC5"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22</w:t>
            </w:r>
          </w:p>
        </w:tc>
        <w:tc>
          <w:tcPr>
            <w:tcW w:w="6502" w:type="dxa"/>
          </w:tcPr>
          <w:p w14:paraId="44F2D35D"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Camgoz A, Gencer EB, Ural AU, Baran Y. Mechanisms responsible for nilotinib resistance in human chronic myeloid leukemia cells and reversal of resistance. Leuk Lymphoma. 2013 Jun;54(6):1279–87.</w:t>
            </w:r>
          </w:p>
        </w:tc>
        <w:tc>
          <w:tcPr>
            <w:tcW w:w="2940" w:type="dxa"/>
          </w:tcPr>
          <w:p w14:paraId="44F2D35E"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Cell line study</w:t>
            </w:r>
          </w:p>
        </w:tc>
      </w:tr>
      <w:tr w:rsidR="006E5A74" w:rsidRPr="00B81D1B" w14:paraId="44F2D363" w14:textId="77777777" w:rsidTr="008B5BFD">
        <w:trPr>
          <w:trHeight w:val="378"/>
        </w:trPr>
        <w:tc>
          <w:tcPr>
            <w:tcW w:w="585" w:type="dxa"/>
          </w:tcPr>
          <w:p w14:paraId="44F2D360" w14:textId="41D6B37E" w:rsidR="006E5A74" w:rsidRPr="00B81D1B" w:rsidRDefault="00545AC5"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23</w:t>
            </w:r>
          </w:p>
        </w:tc>
        <w:tc>
          <w:tcPr>
            <w:tcW w:w="6502" w:type="dxa"/>
          </w:tcPr>
          <w:p w14:paraId="44F2D361" w14:textId="70BDAC7A"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Yan J, Li Q-F, Wang L-S, Wang H, Xiao F-J, Yang Y-F, et al. Methyl-β-cyclodextrin induces programmed cell death in chronic myeloid leukemia cells and, combined with imatinib, produces a synergistic downregulation of ERK/SPK1 signaling. Anticancer Drugs. 2012 Jan;23(1):22–31.</w:t>
            </w:r>
          </w:p>
        </w:tc>
        <w:tc>
          <w:tcPr>
            <w:tcW w:w="2940" w:type="dxa"/>
          </w:tcPr>
          <w:p w14:paraId="44F2D362"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SphK1 activity is not reported from patient sample </w:t>
            </w:r>
          </w:p>
        </w:tc>
      </w:tr>
      <w:tr w:rsidR="006E5A74" w:rsidRPr="00B81D1B" w14:paraId="44F2D367" w14:textId="77777777" w:rsidTr="008B5BFD">
        <w:trPr>
          <w:trHeight w:val="378"/>
        </w:trPr>
        <w:tc>
          <w:tcPr>
            <w:tcW w:w="585" w:type="dxa"/>
          </w:tcPr>
          <w:p w14:paraId="44F2D364" w14:textId="4E94168E" w:rsidR="006E5A74" w:rsidRPr="00B81D1B" w:rsidRDefault="00323149"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24</w:t>
            </w:r>
          </w:p>
        </w:tc>
        <w:tc>
          <w:tcPr>
            <w:tcW w:w="6502" w:type="dxa"/>
          </w:tcPr>
          <w:p w14:paraId="44F2D365"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Morad SAF, Tan S-F, Feith DJ, Kester M, Claxton DF, Loughran TPJ, et al. Modification of sphingolipid metabolism by tamoxifen and N-desmethyltamoxifen in acute myelogenous leukemia--Impact on enzyme activity and response to cytotoxics. Biochim Biophys Acta. 2015 Jul;1851(7):919–28.</w:t>
            </w:r>
          </w:p>
        </w:tc>
        <w:tc>
          <w:tcPr>
            <w:tcW w:w="2940" w:type="dxa"/>
          </w:tcPr>
          <w:p w14:paraId="44F2D366"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SphK1 activity is not reported from patient’s sample</w:t>
            </w:r>
          </w:p>
        </w:tc>
      </w:tr>
      <w:tr w:rsidR="004B6814" w:rsidRPr="00B81D1B" w14:paraId="5D95E18A" w14:textId="77777777" w:rsidTr="008B5BFD">
        <w:trPr>
          <w:trHeight w:val="378"/>
        </w:trPr>
        <w:tc>
          <w:tcPr>
            <w:tcW w:w="585" w:type="dxa"/>
          </w:tcPr>
          <w:p w14:paraId="3A65A974" w14:textId="5351F167" w:rsidR="004B6814" w:rsidRPr="00B81D1B" w:rsidRDefault="004B681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25</w:t>
            </w:r>
          </w:p>
        </w:tc>
        <w:tc>
          <w:tcPr>
            <w:tcW w:w="6502" w:type="dxa"/>
          </w:tcPr>
          <w:p w14:paraId="167EF5B4" w14:textId="119983C8" w:rsidR="004B6814" w:rsidRPr="00B81D1B" w:rsidRDefault="004B6814" w:rsidP="0083237C">
            <w:pPr>
              <w:jc w:val="both"/>
              <w:rPr>
                <w:rFonts w:ascii="Times New Roman" w:eastAsia="Times New Roman" w:hAnsi="Times New Roman" w:cs="Times New Roman"/>
                <w:sz w:val="24"/>
                <w:szCs w:val="24"/>
                <w:lang w:val="en-IN" w:eastAsia="en-IN"/>
              </w:rPr>
            </w:pPr>
            <w:r w:rsidRPr="00B81D1B">
              <w:rPr>
                <w:rFonts w:ascii="Times New Roman" w:eastAsia="Times New Roman" w:hAnsi="Times New Roman" w:cs="Times New Roman"/>
                <w:sz w:val="24"/>
                <w:szCs w:val="24"/>
                <w:lang w:val="en-IN" w:eastAsia="en-IN"/>
              </w:rPr>
              <w:t xml:space="preserve">Baran Y, Camgoz A, Ural A, Avcu F. Molecular mechanisms of </w:t>
            </w:r>
            <w:r w:rsidRPr="00B81D1B">
              <w:rPr>
                <w:rFonts w:ascii="Times New Roman" w:eastAsia="Times New Roman" w:hAnsi="Times New Roman" w:cs="Times New Roman"/>
                <w:sz w:val="24"/>
                <w:szCs w:val="24"/>
                <w:lang w:val="en-IN" w:eastAsia="en-IN"/>
              </w:rPr>
              <w:lastRenderedPageBreak/>
              <w:t>nilotinib resistance and reversal of resistance in chronic myeloid leukemia cells. Haematologica. 2011;96((Baran Y.; Camgoz A.) Izmir Institute of Technology, Izmir, Turkey):88–9.</w:t>
            </w:r>
          </w:p>
          <w:p w14:paraId="69229DD5" w14:textId="77777777" w:rsidR="004B6814" w:rsidRPr="00B81D1B" w:rsidRDefault="004B6814" w:rsidP="0083237C">
            <w:pPr>
              <w:jc w:val="both"/>
              <w:rPr>
                <w:rFonts w:ascii="Times New Roman" w:eastAsia="Times New Roman" w:hAnsi="Times New Roman" w:cs="Times New Roman"/>
                <w:color w:val="0D0D0D" w:themeColor="text1" w:themeTint="F2"/>
                <w:sz w:val="24"/>
                <w:szCs w:val="24"/>
              </w:rPr>
            </w:pPr>
          </w:p>
        </w:tc>
        <w:tc>
          <w:tcPr>
            <w:tcW w:w="2940" w:type="dxa"/>
          </w:tcPr>
          <w:p w14:paraId="700DD449" w14:textId="6968B419" w:rsidR="004B6814" w:rsidRPr="00B81D1B" w:rsidRDefault="00A3080D"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lastRenderedPageBreak/>
              <w:t>Cell line study</w:t>
            </w:r>
          </w:p>
        </w:tc>
      </w:tr>
      <w:tr w:rsidR="006E5A74" w:rsidRPr="00B81D1B" w14:paraId="44F2D373" w14:textId="77777777" w:rsidTr="008B5BFD">
        <w:trPr>
          <w:trHeight w:val="378"/>
        </w:trPr>
        <w:tc>
          <w:tcPr>
            <w:tcW w:w="585" w:type="dxa"/>
          </w:tcPr>
          <w:p w14:paraId="44F2D370" w14:textId="7CD64547" w:rsidR="006E5A74" w:rsidRPr="00B81D1B" w:rsidRDefault="008C7D6D"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w:t>
            </w:r>
            <w:r w:rsidR="006E5A74" w:rsidRPr="00B81D1B">
              <w:rPr>
                <w:rFonts w:ascii="Times New Roman" w:hAnsi="Times New Roman" w:cs="Times New Roman"/>
                <w:color w:val="0D0D0D" w:themeColor="text1" w:themeTint="F2"/>
                <w:sz w:val="24"/>
                <w:szCs w:val="24"/>
              </w:rPr>
              <w:t>6</w:t>
            </w:r>
          </w:p>
        </w:tc>
        <w:tc>
          <w:tcPr>
            <w:tcW w:w="6502" w:type="dxa"/>
          </w:tcPr>
          <w:p w14:paraId="44F2D371"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Bonhoure E, Pchejetski D, Aouali N, Morjani H, Levade T, Kohama T, et al. Overcoming MDR-associated chemoresistance in HL-60 acute myeloid leukemia cells by targeting sphingosine kinase-1. Leukemia. 2006 Jan;20(1):95–102.</w:t>
            </w:r>
          </w:p>
        </w:tc>
        <w:tc>
          <w:tcPr>
            <w:tcW w:w="2940" w:type="dxa"/>
          </w:tcPr>
          <w:p w14:paraId="44F2D372"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Cell line Study</w:t>
            </w:r>
          </w:p>
        </w:tc>
      </w:tr>
      <w:tr w:rsidR="006E5A74" w:rsidRPr="00B81D1B" w14:paraId="44F2D377" w14:textId="77777777" w:rsidTr="008B5BFD">
        <w:trPr>
          <w:trHeight w:val="378"/>
        </w:trPr>
        <w:tc>
          <w:tcPr>
            <w:tcW w:w="585" w:type="dxa"/>
          </w:tcPr>
          <w:p w14:paraId="44F2D374" w14:textId="266D3DB2" w:rsidR="006E5A74" w:rsidRPr="00B81D1B" w:rsidRDefault="008C7D6D"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w:t>
            </w:r>
            <w:r w:rsidR="006E5A74" w:rsidRPr="00B81D1B">
              <w:rPr>
                <w:rFonts w:ascii="Times New Roman" w:hAnsi="Times New Roman" w:cs="Times New Roman"/>
                <w:color w:val="0D0D0D" w:themeColor="text1" w:themeTint="F2"/>
                <w:sz w:val="24"/>
                <w:szCs w:val="24"/>
              </w:rPr>
              <w:t>7</w:t>
            </w:r>
          </w:p>
        </w:tc>
        <w:tc>
          <w:tcPr>
            <w:tcW w:w="6502" w:type="dxa"/>
          </w:tcPr>
          <w:p w14:paraId="44F2D375"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Le Scolan E, Pchejetski D, Banno Y, Denis N, Mayeux P, Vainchenker W, et al. Overexpression of sphingosine kinase 1 is an oncogenic event in erythroleukemic progression. Blood. 2005 Sep 1;106(5):1808–16.</w:t>
            </w:r>
          </w:p>
        </w:tc>
        <w:tc>
          <w:tcPr>
            <w:tcW w:w="2940" w:type="dxa"/>
          </w:tcPr>
          <w:p w14:paraId="44F2D376"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Cell line Study</w:t>
            </w:r>
          </w:p>
        </w:tc>
      </w:tr>
      <w:tr w:rsidR="006E5A74" w:rsidRPr="00B81D1B" w14:paraId="44F2D37B" w14:textId="77777777" w:rsidTr="008B5BFD">
        <w:trPr>
          <w:trHeight w:val="378"/>
        </w:trPr>
        <w:tc>
          <w:tcPr>
            <w:tcW w:w="585" w:type="dxa"/>
          </w:tcPr>
          <w:p w14:paraId="44F2D378" w14:textId="20E10BA3" w:rsidR="006E5A74" w:rsidRPr="00B81D1B" w:rsidRDefault="00041C20"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w:t>
            </w:r>
            <w:r w:rsidR="006E5A74" w:rsidRPr="00B81D1B">
              <w:rPr>
                <w:rFonts w:ascii="Times New Roman" w:hAnsi="Times New Roman" w:cs="Times New Roman"/>
                <w:color w:val="0D0D0D" w:themeColor="text1" w:themeTint="F2"/>
                <w:sz w:val="24"/>
                <w:szCs w:val="24"/>
              </w:rPr>
              <w:t>8</w:t>
            </w:r>
          </w:p>
        </w:tc>
        <w:tc>
          <w:tcPr>
            <w:tcW w:w="6502" w:type="dxa"/>
          </w:tcPr>
          <w:p w14:paraId="44F2D379"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Li Q-F, Zhu H-Y, Yang Y-F, Liu J, Xiao F-J, Zhang Q-W, et al. Prokineticin-1/endocrine gland-derived vascular endothelial growth factor is a survival factor for human multiple myeloma cells. Leukemia &amp; Lymphoma. 2010 Oct;51(10):1902–12.</w:t>
            </w:r>
          </w:p>
        </w:tc>
        <w:tc>
          <w:tcPr>
            <w:tcW w:w="2940" w:type="dxa"/>
          </w:tcPr>
          <w:p w14:paraId="44F2D37A"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SphK1 activity is not reported from patient’s sample</w:t>
            </w:r>
          </w:p>
        </w:tc>
      </w:tr>
      <w:tr w:rsidR="006E5A74" w:rsidRPr="00B81D1B" w14:paraId="44F2D37F" w14:textId="77777777" w:rsidTr="008B5BFD">
        <w:trPr>
          <w:trHeight w:val="378"/>
        </w:trPr>
        <w:tc>
          <w:tcPr>
            <w:tcW w:w="585" w:type="dxa"/>
          </w:tcPr>
          <w:p w14:paraId="44F2D37C" w14:textId="13F04EC5" w:rsidR="006E5A74" w:rsidRPr="00B81D1B" w:rsidRDefault="00D92C2D"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2</w:t>
            </w:r>
            <w:r w:rsidR="006E5A74" w:rsidRPr="00B81D1B">
              <w:rPr>
                <w:rFonts w:ascii="Times New Roman" w:hAnsi="Times New Roman" w:cs="Times New Roman"/>
                <w:color w:val="0D0D0D" w:themeColor="text1" w:themeTint="F2"/>
                <w:sz w:val="24"/>
                <w:szCs w:val="24"/>
              </w:rPr>
              <w:t>9</w:t>
            </w:r>
          </w:p>
        </w:tc>
        <w:tc>
          <w:tcPr>
            <w:tcW w:w="6502" w:type="dxa"/>
          </w:tcPr>
          <w:p w14:paraId="44F2D37D"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Sobue S, Iwasaki T, Sugisaki C, Nagata K, Kikuchi R, Murakami M, et al. Quantitative RT-PCR analysis of sphingolipid metabolic enzymes in acute leukemia and myelodysplastic syndromes [4]. Leukemia. 2006;20(11):2042–6.</w:t>
            </w:r>
          </w:p>
        </w:tc>
        <w:tc>
          <w:tcPr>
            <w:tcW w:w="2940" w:type="dxa"/>
          </w:tcPr>
          <w:p w14:paraId="44F2D37E"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No comparison with healthy participants</w:t>
            </w:r>
          </w:p>
        </w:tc>
      </w:tr>
      <w:tr w:rsidR="006E5A74" w:rsidRPr="00B81D1B" w14:paraId="44F2D384" w14:textId="77777777" w:rsidTr="008B5BFD">
        <w:trPr>
          <w:trHeight w:val="378"/>
        </w:trPr>
        <w:tc>
          <w:tcPr>
            <w:tcW w:w="585" w:type="dxa"/>
          </w:tcPr>
          <w:p w14:paraId="44F2D380" w14:textId="0400133F" w:rsidR="006E5A74" w:rsidRPr="00B81D1B" w:rsidRDefault="00C02221"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30</w:t>
            </w:r>
          </w:p>
        </w:tc>
        <w:tc>
          <w:tcPr>
            <w:tcW w:w="6502" w:type="dxa"/>
          </w:tcPr>
          <w:p w14:paraId="44F2D381"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 xml:space="preserve">Petrusca DN, Park C, Wang F, Anderson J, Roodman DG. Role of Gfi1 transcription factor in myeloma cells growth and survival. FASEB J [Internet]. 2016;30((Petrusca D.N.; Park C.; Wang F.; Anderson J.; Roodman D.G.) Medicine-Hematology/Oncology, Indiana University, Indianapolis, IN, United States). Available from: </w:t>
            </w:r>
          </w:p>
          <w:p w14:paraId="44F2D382" w14:textId="77777777" w:rsidR="006E5A74" w:rsidRPr="00B81D1B" w:rsidRDefault="00000000" w:rsidP="0083237C">
            <w:pPr>
              <w:jc w:val="both"/>
              <w:rPr>
                <w:rFonts w:ascii="Times New Roman" w:eastAsia="Times New Roman" w:hAnsi="Times New Roman" w:cs="Times New Roman"/>
                <w:color w:val="0D0D0D" w:themeColor="text1" w:themeTint="F2"/>
                <w:sz w:val="24"/>
                <w:szCs w:val="24"/>
              </w:rPr>
            </w:pPr>
            <w:hyperlink r:id="rId9" w:history="1">
              <w:r w:rsidR="006E5A74" w:rsidRPr="00B81D1B">
                <w:rPr>
                  <w:rFonts w:ascii="Times New Roman" w:eastAsia="Times New Roman" w:hAnsi="Times New Roman" w:cs="Times New Roman"/>
                  <w:color w:val="0D0D0D" w:themeColor="text1" w:themeTint="F2"/>
                  <w:sz w:val="24"/>
                  <w:szCs w:val="24"/>
                  <w:u w:val="single"/>
                </w:rPr>
                <w:t>https://www.embase.com/search/results?subaction=viewrecord&amp;id=L72319287&amp;from=export</w:t>
              </w:r>
            </w:hyperlink>
          </w:p>
        </w:tc>
        <w:tc>
          <w:tcPr>
            <w:tcW w:w="2940" w:type="dxa"/>
          </w:tcPr>
          <w:p w14:paraId="44F2D383" w14:textId="1660A84B" w:rsidR="006E5A74" w:rsidRPr="00B81D1B" w:rsidRDefault="00C96DA2"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Abstract</w:t>
            </w:r>
          </w:p>
        </w:tc>
      </w:tr>
      <w:tr w:rsidR="006E5A74" w:rsidRPr="00B81D1B" w14:paraId="44F2D388" w14:textId="77777777" w:rsidTr="008B5BFD">
        <w:trPr>
          <w:trHeight w:val="378"/>
        </w:trPr>
        <w:tc>
          <w:tcPr>
            <w:tcW w:w="585" w:type="dxa"/>
          </w:tcPr>
          <w:p w14:paraId="44F2D385" w14:textId="43EF5250" w:rsidR="006E5A74" w:rsidRPr="00B81D1B" w:rsidRDefault="00E161FB"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w:t>
            </w:r>
            <w:r w:rsidR="006E5A74" w:rsidRPr="00B81D1B">
              <w:rPr>
                <w:rFonts w:ascii="Times New Roman" w:hAnsi="Times New Roman" w:cs="Times New Roman"/>
                <w:color w:val="0D0D0D" w:themeColor="text1" w:themeTint="F2"/>
                <w:sz w:val="24"/>
                <w:szCs w:val="24"/>
              </w:rPr>
              <w:t>1</w:t>
            </w:r>
          </w:p>
        </w:tc>
        <w:tc>
          <w:tcPr>
            <w:tcW w:w="6502" w:type="dxa"/>
          </w:tcPr>
          <w:p w14:paraId="44F2D386"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Beider K, Rosenberg E, Bitner H, Leiba M, Koren-Michowitz M, Abraham M, et al. S1P modulator FTY720 targets multiple myeloma cell proliferation and stromal interactions via CXCR4/CXCL12 and mTOR pathways. Blood [Internet]. 2014;124(21). </w:t>
            </w:r>
          </w:p>
        </w:tc>
        <w:tc>
          <w:tcPr>
            <w:tcW w:w="2940" w:type="dxa"/>
          </w:tcPr>
          <w:p w14:paraId="44F2D387"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Poster</w:t>
            </w:r>
          </w:p>
        </w:tc>
      </w:tr>
      <w:tr w:rsidR="006E5A74" w:rsidRPr="00B81D1B" w14:paraId="44F2D392" w14:textId="77777777" w:rsidTr="008B5BFD">
        <w:trPr>
          <w:trHeight w:val="378"/>
        </w:trPr>
        <w:tc>
          <w:tcPr>
            <w:tcW w:w="585" w:type="dxa"/>
          </w:tcPr>
          <w:p w14:paraId="44F2D38F" w14:textId="3BC46E03" w:rsidR="006E5A74" w:rsidRPr="00B81D1B" w:rsidRDefault="008B36CD"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32</w:t>
            </w:r>
          </w:p>
        </w:tc>
        <w:tc>
          <w:tcPr>
            <w:tcW w:w="6502" w:type="dxa"/>
          </w:tcPr>
          <w:p w14:paraId="44F2D390"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Vrzalikova K, Ibrahim M, Vockerodt M, Perry T, Margielewska S, Lupino L, et al. S1PR1 drives a feedforwardsignalling loop to regulate BATF3 and the transcriptional programme of Hodgkin lymphoma cells. Leukemia. 2018;32(1):214–23.</w:t>
            </w:r>
          </w:p>
        </w:tc>
        <w:tc>
          <w:tcPr>
            <w:tcW w:w="2940" w:type="dxa"/>
          </w:tcPr>
          <w:p w14:paraId="44F2D391"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No comparison with healthy participants</w:t>
            </w:r>
          </w:p>
        </w:tc>
      </w:tr>
      <w:tr w:rsidR="006E5A74" w:rsidRPr="00B81D1B" w14:paraId="44F2D3B3" w14:textId="77777777" w:rsidTr="008B5BFD">
        <w:trPr>
          <w:trHeight w:val="378"/>
        </w:trPr>
        <w:tc>
          <w:tcPr>
            <w:tcW w:w="585" w:type="dxa"/>
          </w:tcPr>
          <w:p w14:paraId="44F2D3B0" w14:textId="21BBFE25" w:rsidR="006E5A74" w:rsidRPr="00B81D1B" w:rsidRDefault="006A2797"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33</w:t>
            </w:r>
          </w:p>
        </w:tc>
        <w:tc>
          <w:tcPr>
            <w:tcW w:w="6502" w:type="dxa"/>
          </w:tcPr>
          <w:p w14:paraId="44F2D3B1"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Bayerl MG, Bruggeman RD, Conroy EJ, Hengst JA, King TS, Jimenez M, et al. Sphingosine kinase 1 protein and mRNA are overexpressed in non-Hodgkin lymphomas and are attractive targets for novel pharmacological interventions. Leuk Lymphoma. 2008 May;49(5):948–54.</w:t>
            </w:r>
          </w:p>
        </w:tc>
        <w:tc>
          <w:tcPr>
            <w:tcW w:w="2940" w:type="dxa"/>
          </w:tcPr>
          <w:p w14:paraId="44F2D3B2"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No comparison with healthy participants</w:t>
            </w:r>
          </w:p>
        </w:tc>
      </w:tr>
      <w:tr w:rsidR="006E5A74" w:rsidRPr="00B81D1B" w14:paraId="44F2D3BF" w14:textId="77777777" w:rsidTr="008B5BFD">
        <w:trPr>
          <w:trHeight w:val="378"/>
        </w:trPr>
        <w:tc>
          <w:tcPr>
            <w:tcW w:w="585" w:type="dxa"/>
          </w:tcPr>
          <w:p w14:paraId="44F2D3BC" w14:textId="144FD012" w:rsidR="006E5A74" w:rsidRPr="00B81D1B" w:rsidRDefault="00A20EAB"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34</w:t>
            </w:r>
          </w:p>
        </w:tc>
        <w:tc>
          <w:tcPr>
            <w:tcW w:w="6502" w:type="dxa"/>
          </w:tcPr>
          <w:p w14:paraId="44F2D3BD"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Limaye V, Li X, Hahn C, Xia P, Berndt MC, Vadas MA, et al. Sphingosine kinase-1 enhances endothelial cell survival through a PECAM-1-dependent activation of PI-3K/Akt and regulation of Bcl-2 family members. Blood. 2005 Apr 15;105(8):3169–77.</w:t>
            </w:r>
          </w:p>
        </w:tc>
        <w:tc>
          <w:tcPr>
            <w:tcW w:w="2940" w:type="dxa"/>
          </w:tcPr>
          <w:p w14:paraId="44F2D3BE"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Not relevant</w:t>
            </w:r>
          </w:p>
        </w:tc>
      </w:tr>
      <w:tr w:rsidR="006E5A74" w:rsidRPr="00B81D1B" w14:paraId="44F2D3C3" w14:textId="77777777" w:rsidTr="008B5BFD">
        <w:trPr>
          <w:trHeight w:val="378"/>
        </w:trPr>
        <w:tc>
          <w:tcPr>
            <w:tcW w:w="585" w:type="dxa"/>
          </w:tcPr>
          <w:p w14:paraId="44F2D3C0" w14:textId="54791975" w:rsidR="006E5A74" w:rsidRPr="00B81D1B" w:rsidRDefault="00A20EAB"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lastRenderedPageBreak/>
              <w:t>35</w:t>
            </w:r>
          </w:p>
        </w:tc>
        <w:tc>
          <w:tcPr>
            <w:tcW w:w="6502" w:type="dxa"/>
          </w:tcPr>
          <w:p w14:paraId="44F2D3C1"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Bonhoure E, Lauret A, Barnes DJ, Martin C, Malavaud B, Kohama T, et al. Sphingosine kinase-1 is a downstream regulator of imatinib-induced apoptosis in chronic myeloid leukemia cells. Leukemia. 2008 May;22(5):971–9</w:t>
            </w:r>
          </w:p>
        </w:tc>
        <w:tc>
          <w:tcPr>
            <w:tcW w:w="2940" w:type="dxa"/>
          </w:tcPr>
          <w:p w14:paraId="44F2D3C2"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SphK1 activity is not reported from patient’s sample</w:t>
            </w:r>
          </w:p>
        </w:tc>
      </w:tr>
      <w:tr w:rsidR="006E5A74" w:rsidRPr="00B81D1B" w14:paraId="44F2D3CB" w14:textId="77777777" w:rsidTr="008B5BFD">
        <w:trPr>
          <w:trHeight w:val="378"/>
        </w:trPr>
        <w:tc>
          <w:tcPr>
            <w:tcW w:w="585" w:type="dxa"/>
          </w:tcPr>
          <w:p w14:paraId="44F2D3C8" w14:textId="76CB674D" w:rsidR="006E5A74" w:rsidRPr="00B81D1B" w:rsidRDefault="00B03BAC"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36</w:t>
            </w:r>
          </w:p>
        </w:tc>
        <w:tc>
          <w:tcPr>
            <w:tcW w:w="6502" w:type="dxa"/>
          </w:tcPr>
          <w:p w14:paraId="44F2D3C9"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Li Q-F, Huang W-R, Duan H-F, Wang H, Wu C-T, Wang L-S. Sphingosine kinase-1 mediates BCR/ABL-induced upregulation of Mcl-1 in chronic myeloid leukemia cells. Oncogene. 2007 Dec 13;26(57):7904–8.</w:t>
            </w:r>
          </w:p>
        </w:tc>
        <w:tc>
          <w:tcPr>
            <w:tcW w:w="2940" w:type="dxa"/>
          </w:tcPr>
          <w:p w14:paraId="44F2D3CA"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Detection method is not mentioned</w:t>
            </w:r>
          </w:p>
        </w:tc>
      </w:tr>
      <w:tr w:rsidR="006E5A74" w:rsidRPr="00B81D1B" w14:paraId="44F2D3CF" w14:textId="77777777" w:rsidTr="008B5BFD">
        <w:trPr>
          <w:trHeight w:val="378"/>
        </w:trPr>
        <w:tc>
          <w:tcPr>
            <w:tcW w:w="585" w:type="dxa"/>
          </w:tcPr>
          <w:p w14:paraId="44F2D3CC" w14:textId="52A61AD1" w:rsidR="006E5A74" w:rsidRPr="00B81D1B" w:rsidRDefault="00B03BAC"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37</w:t>
            </w:r>
          </w:p>
        </w:tc>
        <w:tc>
          <w:tcPr>
            <w:tcW w:w="6502" w:type="dxa"/>
          </w:tcPr>
          <w:p w14:paraId="44F2D3CD"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Almejun MB, Borge M, Colado A, Podaza E, Risnik D, DeBrasi CD, et al. Sphingosine kinases (SK): Key molecules associated with the activation, proliferation and ibrutinib-induced cell death of chronic lympocytic leukemia cells. Blood. 2015;126(23):1714.</w:t>
            </w:r>
          </w:p>
        </w:tc>
        <w:tc>
          <w:tcPr>
            <w:tcW w:w="2940" w:type="dxa"/>
          </w:tcPr>
          <w:p w14:paraId="44F2D3CE"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Poster</w:t>
            </w:r>
          </w:p>
        </w:tc>
      </w:tr>
      <w:tr w:rsidR="006E5A74" w:rsidRPr="00B81D1B" w14:paraId="44F2D3D3" w14:textId="77777777" w:rsidTr="008B5BFD">
        <w:trPr>
          <w:trHeight w:val="378"/>
        </w:trPr>
        <w:tc>
          <w:tcPr>
            <w:tcW w:w="585" w:type="dxa"/>
          </w:tcPr>
          <w:p w14:paraId="44F2D3D0" w14:textId="333D5841" w:rsidR="006E5A74" w:rsidRPr="00B81D1B" w:rsidRDefault="00357825"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38</w:t>
            </w:r>
          </w:p>
        </w:tc>
        <w:tc>
          <w:tcPr>
            <w:tcW w:w="6502" w:type="dxa"/>
          </w:tcPr>
          <w:p w14:paraId="44F2D3D1"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Wallington-Beddoe C, Bradstock K, Bendall L. Sphingosine kinases are important therapeutic targets in precursor B-cell acute lymphoblastic leukemia. Exp Hematol. 2012;40(8):S81–2.</w:t>
            </w:r>
          </w:p>
        </w:tc>
        <w:tc>
          <w:tcPr>
            <w:tcW w:w="2940" w:type="dxa"/>
          </w:tcPr>
          <w:p w14:paraId="44F2D3D2" w14:textId="41DA1D68"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Full </w:t>
            </w:r>
            <w:r w:rsidR="00AF58D3" w:rsidRPr="00B81D1B">
              <w:rPr>
                <w:rFonts w:ascii="Times New Roman" w:hAnsi="Times New Roman" w:cs="Times New Roman"/>
                <w:color w:val="0D0D0D" w:themeColor="text1" w:themeTint="F2"/>
                <w:sz w:val="24"/>
                <w:szCs w:val="24"/>
              </w:rPr>
              <w:t>text</w:t>
            </w:r>
            <w:r w:rsidRPr="00B81D1B">
              <w:rPr>
                <w:rFonts w:ascii="Times New Roman" w:hAnsi="Times New Roman" w:cs="Times New Roman"/>
                <w:color w:val="0D0D0D" w:themeColor="text1" w:themeTint="F2"/>
                <w:sz w:val="24"/>
                <w:szCs w:val="24"/>
              </w:rPr>
              <w:t xml:space="preserve"> </w:t>
            </w:r>
            <w:r w:rsidR="00AF58D3" w:rsidRPr="00B81D1B">
              <w:rPr>
                <w:rFonts w:ascii="Times New Roman" w:hAnsi="Times New Roman" w:cs="Times New Roman"/>
                <w:color w:val="0D0D0D" w:themeColor="text1" w:themeTint="F2"/>
                <w:sz w:val="24"/>
                <w:szCs w:val="24"/>
              </w:rPr>
              <w:t>paper</w:t>
            </w:r>
            <w:r w:rsidRPr="00B81D1B">
              <w:rPr>
                <w:rFonts w:ascii="Times New Roman" w:hAnsi="Times New Roman" w:cs="Times New Roman"/>
                <w:color w:val="0D0D0D" w:themeColor="text1" w:themeTint="F2"/>
                <w:sz w:val="24"/>
                <w:szCs w:val="24"/>
              </w:rPr>
              <w:t xml:space="preserve"> not available</w:t>
            </w:r>
          </w:p>
        </w:tc>
      </w:tr>
      <w:tr w:rsidR="006E5A74" w:rsidRPr="00B81D1B" w14:paraId="44F2D3DB" w14:textId="77777777" w:rsidTr="008B5BFD">
        <w:trPr>
          <w:trHeight w:val="378"/>
        </w:trPr>
        <w:tc>
          <w:tcPr>
            <w:tcW w:w="585" w:type="dxa"/>
          </w:tcPr>
          <w:p w14:paraId="44F2D3D8" w14:textId="107ADD44" w:rsidR="006E5A74" w:rsidRPr="00B81D1B" w:rsidRDefault="00B23AD5"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39</w:t>
            </w:r>
          </w:p>
        </w:tc>
        <w:tc>
          <w:tcPr>
            <w:tcW w:w="6502" w:type="dxa"/>
          </w:tcPr>
          <w:p w14:paraId="44F2D3D9"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Lupino L, Perry T, Margielewska S, Hollows R, Ibrahim M, Care M, et al. Sphingosine-1-phosphate signalling drives an angiogenic transcriptional programme in diffuse large B cell lymphoma. Leukemia. 2019 Dec;33(12):2884–97</w:t>
            </w:r>
          </w:p>
        </w:tc>
        <w:tc>
          <w:tcPr>
            <w:tcW w:w="2940" w:type="dxa"/>
          </w:tcPr>
          <w:p w14:paraId="44F2D3DA" w14:textId="3842517F"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No</w:t>
            </w:r>
            <w:r w:rsidR="00A859DB" w:rsidRPr="00B81D1B">
              <w:rPr>
                <w:rFonts w:ascii="Times New Roman" w:hAnsi="Times New Roman" w:cs="Times New Roman"/>
                <w:color w:val="0D0D0D" w:themeColor="text1" w:themeTint="F2"/>
                <w:sz w:val="24"/>
                <w:szCs w:val="24"/>
              </w:rPr>
              <w:t xml:space="preserve"> </w:t>
            </w:r>
            <w:r w:rsidRPr="00B81D1B">
              <w:rPr>
                <w:rFonts w:ascii="Times New Roman" w:hAnsi="Times New Roman" w:cs="Times New Roman"/>
                <w:color w:val="0D0D0D" w:themeColor="text1" w:themeTint="F2"/>
                <w:sz w:val="24"/>
                <w:szCs w:val="24"/>
              </w:rPr>
              <w:t>comparison with healthy participants</w:t>
            </w:r>
          </w:p>
        </w:tc>
      </w:tr>
      <w:tr w:rsidR="006E5A74" w:rsidRPr="00B81D1B" w14:paraId="44F2D3DF" w14:textId="77777777" w:rsidTr="008B5BFD">
        <w:trPr>
          <w:trHeight w:val="378"/>
        </w:trPr>
        <w:tc>
          <w:tcPr>
            <w:tcW w:w="585" w:type="dxa"/>
          </w:tcPr>
          <w:p w14:paraId="44F2D3DC" w14:textId="7699D42C" w:rsidR="006E5A74" w:rsidRPr="00B81D1B" w:rsidRDefault="00082606"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40</w:t>
            </w:r>
          </w:p>
        </w:tc>
        <w:tc>
          <w:tcPr>
            <w:tcW w:w="6502" w:type="dxa"/>
          </w:tcPr>
          <w:p w14:paraId="44F2D3DD"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Huang W-R, Wang L-S, Wang H, Duan H-F, Li Q-F, Gao C-J, et al. [SphK-1/S1P signal pathway in CML cells]. Zhongguo Shi Yan Xue Ye Xue ZaZhi. 2008 Aug;16(4):730–3.</w:t>
            </w:r>
          </w:p>
        </w:tc>
        <w:tc>
          <w:tcPr>
            <w:tcW w:w="2940" w:type="dxa"/>
          </w:tcPr>
          <w:p w14:paraId="44F2D3DE"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Not in English language</w:t>
            </w:r>
          </w:p>
        </w:tc>
      </w:tr>
      <w:tr w:rsidR="006E5A74" w:rsidRPr="00B81D1B" w14:paraId="44F2D3E7" w14:textId="77777777" w:rsidTr="008B5BFD">
        <w:trPr>
          <w:trHeight w:val="378"/>
        </w:trPr>
        <w:tc>
          <w:tcPr>
            <w:tcW w:w="585" w:type="dxa"/>
          </w:tcPr>
          <w:p w14:paraId="44F2D3E4" w14:textId="092F17D0" w:rsidR="006E5A74" w:rsidRPr="00B81D1B" w:rsidRDefault="00845CCC"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41</w:t>
            </w:r>
          </w:p>
        </w:tc>
        <w:tc>
          <w:tcPr>
            <w:tcW w:w="6502" w:type="dxa"/>
          </w:tcPr>
          <w:p w14:paraId="44F2D3E5" w14:textId="77777777"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Liu X-Y, Yang Y-F, Wu C-T, Xiao F-J, Zhang Q-W, Ma X-N, et al. Spred2 is involved in imatinib-induced cytotoxicity in chronic myeloid leukemia cells. Biochem Biophys Res Commun. 2010 Mar 19;393(4):637–42.</w:t>
            </w:r>
          </w:p>
        </w:tc>
        <w:tc>
          <w:tcPr>
            <w:tcW w:w="2940" w:type="dxa"/>
          </w:tcPr>
          <w:p w14:paraId="44F2D3E6"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SphK1 activity is not reported</w:t>
            </w:r>
          </w:p>
        </w:tc>
      </w:tr>
      <w:tr w:rsidR="006E5A74" w:rsidRPr="00B81D1B" w14:paraId="44F2D3F0" w14:textId="77777777" w:rsidTr="008B5BFD">
        <w:trPr>
          <w:trHeight w:val="378"/>
        </w:trPr>
        <w:tc>
          <w:tcPr>
            <w:tcW w:w="585" w:type="dxa"/>
          </w:tcPr>
          <w:p w14:paraId="44F2D3ED" w14:textId="71B8BAD6" w:rsidR="006E5A74" w:rsidRPr="00B81D1B" w:rsidRDefault="004726F6"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42</w:t>
            </w:r>
          </w:p>
        </w:tc>
        <w:tc>
          <w:tcPr>
            <w:tcW w:w="6502" w:type="dxa"/>
          </w:tcPr>
          <w:p w14:paraId="44F2D3EE" w14:textId="77777777" w:rsidR="006E5A74" w:rsidRPr="00B81D1B" w:rsidRDefault="006E5A74" w:rsidP="0083237C">
            <w:pPr>
              <w:ind w:right="96"/>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Powell J, Pitman M, Coolen C, Zhu W, Lewis I, D’Andrea R, et al. Targeting sphingosine kinase as atherapy for acute myeloid leukaemia. Exp Hematol. 2013;41(8):S54.</w:t>
            </w:r>
          </w:p>
        </w:tc>
        <w:tc>
          <w:tcPr>
            <w:tcW w:w="2940" w:type="dxa"/>
          </w:tcPr>
          <w:p w14:paraId="44F2D3EF" w14:textId="77777777"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Poster</w:t>
            </w:r>
          </w:p>
        </w:tc>
      </w:tr>
      <w:tr w:rsidR="006E5A74" w:rsidRPr="00B81D1B" w14:paraId="44F2D403" w14:textId="77777777" w:rsidTr="008B5BFD">
        <w:trPr>
          <w:trHeight w:val="378"/>
        </w:trPr>
        <w:tc>
          <w:tcPr>
            <w:tcW w:w="585" w:type="dxa"/>
          </w:tcPr>
          <w:p w14:paraId="44F2D3FF" w14:textId="5D99F0F2" w:rsidR="006E5A74" w:rsidRPr="00B81D1B" w:rsidRDefault="003F1A37"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43</w:t>
            </w:r>
          </w:p>
        </w:tc>
        <w:tc>
          <w:tcPr>
            <w:tcW w:w="6502" w:type="dxa"/>
          </w:tcPr>
          <w:p w14:paraId="44F2D400" w14:textId="6E2BF210" w:rsidR="0083237C" w:rsidRPr="00B81D1B" w:rsidRDefault="006E5A74" w:rsidP="0083237C">
            <w:pPr>
              <w:ind w:right="96"/>
              <w:jc w:val="both"/>
              <w:rPr>
                <w:rFonts w:ascii="Times New Roman" w:eastAsia="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Petrusca DN, Berdyshev E, Mulcrone P, Crean CD, Anderson JL, Sun Q, et al. The Gfi1-SphK1 axis regulates the growth and survival of myeloma cells. Blood [Internet]. 2018;132((Petrusca D.N.; Mulcrone P.; Crean C.D.; Anderson J.L.; Roodman G.D.) Department of Medicine/Hematology-Oncology, Indiana University School of Medicine, Indianapolis, IN, United States)</w:t>
            </w:r>
            <w:r w:rsidR="0083237C" w:rsidRPr="00B81D1B">
              <w:rPr>
                <w:rFonts w:ascii="Times New Roman" w:eastAsia="Times New Roman" w:hAnsi="Times New Roman" w:cs="Times New Roman"/>
                <w:color w:val="0D0D0D" w:themeColor="text1" w:themeTint="F2"/>
                <w:sz w:val="24"/>
                <w:szCs w:val="24"/>
              </w:rPr>
              <w:t xml:space="preserve"> </w:t>
            </w:r>
          </w:p>
          <w:p w14:paraId="44F2D401" w14:textId="1E2753E6" w:rsidR="006E5A74" w:rsidRPr="00B81D1B" w:rsidRDefault="006E5A74" w:rsidP="0083237C">
            <w:pPr>
              <w:ind w:right="96"/>
              <w:jc w:val="both"/>
              <w:rPr>
                <w:rFonts w:ascii="Times New Roman" w:eastAsia="Times New Roman" w:hAnsi="Times New Roman" w:cs="Times New Roman"/>
                <w:color w:val="0D0D0D" w:themeColor="text1" w:themeTint="F2"/>
                <w:sz w:val="24"/>
                <w:szCs w:val="24"/>
              </w:rPr>
            </w:pPr>
          </w:p>
        </w:tc>
        <w:tc>
          <w:tcPr>
            <w:tcW w:w="2940" w:type="dxa"/>
          </w:tcPr>
          <w:p w14:paraId="44F2D402" w14:textId="173B225B"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 xml:space="preserve">Poster presentation at 60th ASH Annual Meeting </w:t>
            </w:r>
          </w:p>
        </w:tc>
      </w:tr>
      <w:tr w:rsidR="006E5A74" w:rsidRPr="00B81D1B" w14:paraId="44F2D407" w14:textId="77777777" w:rsidTr="008B5BFD">
        <w:trPr>
          <w:trHeight w:val="378"/>
        </w:trPr>
        <w:tc>
          <w:tcPr>
            <w:tcW w:w="585" w:type="dxa"/>
          </w:tcPr>
          <w:p w14:paraId="44F2D404" w14:textId="1778649F" w:rsidR="006E5A74" w:rsidRPr="00B81D1B" w:rsidRDefault="00212FF3"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44</w:t>
            </w:r>
          </w:p>
        </w:tc>
        <w:tc>
          <w:tcPr>
            <w:tcW w:w="6502" w:type="dxa"/>
          </w:tcPr>
          <w:p w14:paraId="44F2D405" w14:textId="0D4EFE9F" w:rsidR="006E5A74" w:rsidRPr="00B81D1B" w:rsidRDefault="006E5A74" w:rsidP="0083237C">
            <w:pPr>
              <w:jc w:val="both"/>
              <w:rPr>
                <w:rFonts w:ascii="Times New Roman" w:eastAsia="Times New Roman" w:hAnsi="Times New Roman" w:cs="Times New Roman"/>
                <w:color w:val="0D0D0D" w:themeColor="text1" w:themeTint="F2"/>
                <w:sz w:val="24"/>
                <w:szCs w:val="24"/>
              </w:rPr>
            </w:pPr>
            <w:r w:rsidRPr="00B81D1B">
              <w:rPr>
                <w:rFonts w:ascii="Times New Roman" w:eastAsia="Times New Roman" w:hAnsi="Times New Roman" w:cs="Times New Roman"/>
                <w:color w:val="0D0D0D" w:themeColor="text1" w:themeTint="F2"/>
                <w:sz w:val="24"/>
                <w:szCs w:val="24"/>
              </w:rPr>
              <w:t>Baran Y, Gencer E, Ural A, Avcu F. The roles of ceramide generating and ceramide clearence genes in apoptosis in chronic myeloid Leukemia cells exposed to dasatinib. Haematologica. 2010;95((Baran Y.) Izmir Institute of Technology, Faculty of Science, Dept.of</w:t>
            </w:r>
            <w:r w:rsidR="0083237C">
              <w:rPr>
                <w:rFonts w:ascii="Times New Roman" w:eastAsia="Times New Roman" w:hAnsi="Times New Roman" w:cs="Times New Roman"/>
                <w:color w:val="0D0D0D" w:themeColor="text1" w:themeTint="F2"/>
                <w:sz w:val="24"/>
                <w:szCs w:val="24"/>
              </w:rPr>
              <w:t xml:space="preserve"> </w:t>
            </w:r>
            <w:r w:rsidRPr="00B81D1B">
              <w:rPr>
                <w:rFonts w:ascii="Times New Roman" w:eastAsia="Times New Roman" w:hAnsi="Times New Roman" w:cs="Times New Roman"/>
                <w:color w:val="0D0D0D" w:themeColor="text1" w:themeTint="F2"/>
                <w:sz w:val="24"/>
                <w:szCs w:val="24"/>
              </w:rPr>
              <w:t>Mol.Biol. and Genetics, Urla Izmir, Turkey):335–6.</w:t>
            </w:r>
          </w:p>
        </w:tc>
        <w:tc>
          <w:tcPr>
            <w:tcW w:w="2940" w:type="dxa"/>
          </w:tcPr>
          <w:p w14:paraId="44F2D406" w14:textId="7A89E6C1" w:rsidR="006E5A74" w:rsidRPr="00B81D1B" w:rsidRDefault="006E5A74" w:rsidP="0083237C">
            <w:pPr>
              <w:jc w:val="both"/>
              <w:rPr>
                <w:rFonts w:ascii="Times New Roman" w:hAnsi="Times New Roman" w:cs="Times New Roman"/>
                <w:color w:val="0D0D0D" w:themeColor="text1" w:themeTint="F2"/>
                <w:sz w:val="24"/>
                <w:szCs w:val="24"/>
              </w:rPr>
            </w:pPr>
            <w:r w:rsidRPr="00B81D1B">
              <w:rPr>
                <w:rFonts w:ascii="Times New Roman" w:hAnsi="Times New Roman" w:cs="Times New Roman"/>
                <w:color w:val="0D0D0D" w:themeColor="text1" w:themeTint="F2"/>
                <w:sz w:val="24"/>
                <w:szCs w:val="24"/>
              </w:rPr>
              <w:t xml:space="preserve">Full </w:t>
            </w:r>
            <w:r w:rsidR="00AF58D3" w:rsidRPr="00B81D1B">
              <w:rPr>
                <w:rFonts w:ascii="Times New Roman" w:hAnsi="Times New Roman" w:cs="Times New Roman"/>
                <w:color w:val="0D0D0D" w:themeColor="text1" w:themeTint="F2"/>
                <w:sz w:val="24"/>
                <w:szCs w:val="24"/>
              </w:rPr>
              <w:t>text</w:t>
            </w:r>
            <w:r w:rsidRPr="00B81D1B">
              <w:rPr>
                <w:rFonts w:ascii="Times New Roman" w:hAnsi="Times New Roman" w:cs="Times New Roman"/>
                <w:color w:val="0D0D0D" w:themeColor="text1" w:themeTint="F2"/>
                <w:sz w:val="24"/>
                <w:szCs w:val="24"/>
              </w:rPr>
              <w:t xml:space="preserve"> paper not available</w:t>
            </w:r>
          </w:p>
        </w:tc>
      </w:tr>
    </w:tbl>
    <w:p w14:paraId="44F2D429" w14:textId="77777777" w:rsidR="008B5BFD" w:rsidRPr="00B81D1B" w:rsidRDefault="008B5BFD" w:rsidP="00B81D1B">
      <w:pPr>
        <w:rPr>
          <w:rFonts w:ascii="Times New Roman" w:hAnsi="Times New Roman" w:cs="Times New Roman"/>
          <w:color w:val="0D0D0D" w:themeColor="text1" w:themeTint="F2"/>
          <w:sz w:val="24"/>
          <w:szCs w:val="24"/>
        </w:rPr>
      </w:pPr>
    </w:p>
    <w:sectPr w:rsidR="008B5BFD" w:rsidRPr="00B81D1B" w:rsidSect="00001491">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E5A74"/>
    <w:rsid w:val="0000148E"/>
    <w:rsid w:val="00001491"/>
    <w:rsid w:val="0001727F"/>
    <w:rsid w:val="0002164E"/>
    <w:rsid w:val="00023310"/>
    <w:rsid w:val="00024B90"/>
    <w:rsid w:val="00026B50"/>
    <w:rsid w:val="00040E3F"/>
    <w:rsid w:val="00041C20"/>
    <w:rsid w:val="000734B8"/>
    <w:rsid w:val="00081902"/>
    <w:rsid w:val="00081AC3"/>
    <w:rsid w:val="0008214F"/>
    <w:rsid w:val="00082209"/>
    <w:rsid w:val="00082606"/>
    <w:rsid w:val="00082F9D"/>
    <w:rsid w:val="000B53A8"/>
    <w:rsid w:val="000D0348"/>
    <w:rsid w:val="000E1321"/>
    <w:rsid w:val="000E2F24"/>
    <w:rsid w:val="000E6C00"/>
    <w:rsid w:val="001015C8"/>
    <w:rsid w:val="00110AAB"/>
    <w:rsid w:val="001217A5"/>
    <w:rsid w:val="00122A50"/>
    <w:rsid w:val="001276AC"/>
    <w:rsid w:val="0014030B"/>
    <w:rsid w:val="0014211E"/>
    <w:rsid w:val="0014319A"/>
    <w:rsid w:val="001537B7"/>
    <w:rsid w:val="00153F18"/>
    <w:rsid w:val="00154C9C"/>
    <w:rsid w:val="00185BCA"/>
    <w:rsid w:val="001A41D3"/>
    <w:rsid w:val="001B331F"/>
    <w:rsid w:val="001B704F"/>
    <w:rsid w:val="001D459D"/>
    <w:rsid w:val="001E4830"/>
    <w:rsid w:val="001F70D6"/>
    <w:rsid w:val="00212FF3"/>
    <w:rsid w:val="00216596"/>
    <w:rsid w:val="00220B05"/>
    <w:rsid w:val="00233E5E"/>
    <w:rsid w:val="00252919"/>
    <w:rsid w:val="00256BDC"/>
    <w:rsid w:val="00283B27"/>
    <w:rsid w:val="00290986"/>
    <w:rsid w:val="002942B5"/>
    <w:rsid w:val="002B46A6"/>
    <w:rsid w:val="002D480C"/>
    <w:rsid w:val="002E0748"/>
    <w:rsid w:val="002F547A"/>
    <w:rsid w:val="003107E5"/>
    <w:rsid w:val="00323149"/>
    <w:rsid w:val="00351CF9"/>
    <w:rsid w:val="003527B1"/>
    <w:rsid w:val="00357825"/>
    <w:rsid w:val="0036130D"/>
    <w:rsid w:val="00366325"/>
    <w:rsid w:val="00366BE1"/>
    <w:rsid w:val="00366C8C"/>
    <w:rsid w:val="00376BDC"/>
    <w:rsid w:val="0039556E"/>
    <w:rsid w:val="003A2169"/>
    <w:rsid w:val="003C2B2E"/>
    <w:rsid w:val="003E43E9"/>
    <w:rsid w:val="003F1A37"/>
    <w:rsid w:val="0040719A"/>
    <w:rsid w:val="00413CFD"/>
    <w:rsid w:val="004148C5"/>
    <w:rsid w:val="00423ED2"/>
    <w:rsid w:val="0044239E"/>
    <w:rsid w:val="004568BA"/>
    <w:rsid w:val="004570D2"/>
    <w:rsid w:val="004572AE"/>
    <w:rsid w:val="004726F6"/>
    <w:rsid w:val="00473979"/>
    <w:rsid w:val="00476009"/>
    <w:rsid w:val="004A1177"/>
    <w:rsid w:val="004B0F92"/>
    <w:rsid w:val="004B65D3"/>
    <w:rsid w:val="004B6814"/>
    <w:rsid w:val="004C256C"/>
    <w:rsid w:val="004C7DDB"/>
    <w:rsid w:val="004F1ADF"/>
    <w:rsid w:val="004F35E2"/>
    <w:rsid w:val="004F4AB1"/>
    <w:rsid w:val="00503977"/>
    <w:rsid w:val="00542E00"/>
    <w:rsid w:val="00545AC5"/>
    <w:rsid w:val="005467C5"/>
    <w:rsid w:val="005524CD"/>
    <w:rsid w:val="005666C3"/>
    <w:rsid w:val="00580CD7"/>
    <w:rsid w:val="005A2650"/>
    <w:rsid w:val="005A5B4D"/>
    <w:rsid w:val="005B052F"/>
    <w:rsid w:val="005B25D5"/>
    <w:rsid w:val="005B2C83"/>
    <w:rsid w:val="00601CF9"/>
    <w:rsid w:val="006027CD"/>
    <w:rsid w:val="006027F7"/>
    <w:rsid w:val="00630ABA"/>
    <w:rsid w:val="0063501A"/>
    <w:rsid w:val="00645F0E"/>
    <w:rsid w:val="00676E56"/>
    <w:rsid w:val="00682BA5"/>
    <w:rsid w:val="00684BD1"/>
    <w:rsid w:val="0069220F"/>
    <w:rsid w:val="006A2797"/>
    <w:rsid w:val="006A6283"/>
    <w:rsid w:val="006A66BB"/>
    <w:rsid w:val="006A6EA9"/>
    <w:rsid w:val="006A6F83"/>
    <w:rsid w:val="006C5C67"/>
    <w:rsid w:val="006C75A6"/>
    <w:rsid w:val="006D3ECA"/>
    <w:rsid w:val="006E5A74"/>
    <w:rsid w:val="006E5B78"/>
    <w:rsid w:val="006E6E9D"/>
    <w:rsid w:val="00711630"/>
    <w:rsid w:val="00712724"/>
    <w:rsid w:val="007360CE"/>
    <w:rsid w:val="0073798A"/>
    <w:rsid w:val="00751DCB"/>
    <w:rsid w:val="007559D4"/>
    <w:rsid w:val="00777E0F"/>
    <w:rsid w:val="007905A2"/>
    <w:rsid w:val="007921A3"/>
    <w:rsid w:val="0079362E"/>
    <w:rsid w:val="007B35CA"/>
    <w:rsid w:val="007D7653"/>
    <w:rsid w:val="007E2212"/>
    <w:rsid w:val="007E6559"/>
    <w:rsid w:val="007F397D"/>
    <w:rsid w:val="007F5F7F"/>
    <w:rsid w:val="008170D1"/>
    <w:rsid w:val="0083237C"/>
    <w:rsid w:val="00845CCC"/>
    <w:rsid w:val="00845CD4"/>
    <w:rsid w:val="00864FF4"/>
    <w:rsid w:val="00870363"/>
    <w:rsid w:val="0088129C"/>
    <w:rsid w:val="00887999"/>
    <w:rsid w:val="00892A85"/>
    <w:rsid w:val="008A25BC"/>
    <w:rsid w:val="008B36CD"/>
    <w:rsid w:val="008B53A6"/>
    <w:rsid w:val="008B5BFD"/>
    <w:rsid w:val="008C7D6D"/>
    <w:rsid w:val="008E7FE2"/>
    <w:rsid w:val="00926238"/>
    <w:rsid w:val="00930A52"/>
    <w:rsid w:val="00952DC2"/>
    <w:rsid w:val="00965825"/>
    <w:rsid w:val="00973510"/>
    <w:rsid w:val="00976319"/>
    <w:rsid w:val="00991698"/>
    <w:rsid w:val="00992E99"/>
    <w:rsid w:val="009A4529"/>
    <w:rsid w:val="009B0E76"/>
    <w:rsid w:val="009C7B29"/>
    <w:rsid w:val="009D302B"/>
    <w:rsid w:val="009F21EA"/>
    <w:rsid w:val="00A021C2"/>
    <w:rsid w:val="00A05068"/>
    <w:rsid w:val="00A113EC"/>
    <w:rsid w:val="00A20EAB"/>
    <w:rsid w:val="00A3080D"/>
    <w:rsid w:val="00A320A5"/>
    <w:rsid w:val="00A359C4"/>
    <w:rsid w:val="00A463F3"/>
    <w:rsid w:val="00A50279"/>
    <w:rsid w:val="00A7117D"/>
    <w:rsid w:val="00A859DB"/>
    <w:rsid w:val="00AB699D"/>
    <w:rsid w:val="00AC0CF8"/>
    <w:rsid w:val="00AC2C4D"/>
    <w:rsid w:val="00AD6CEE"/>
    <w:rsid w:val="00AE3160"/>
    <w:rsid w:val="00AE31EF"/>
    <w:rsid w:val="00AE47AA"/>
    <w:rsid w:val="00AE565B"/>
    <w:rsid w:val="00AF1295"/>
    <w:rsid w:val="00AF49A1"/>
    <w:rsid w:val="00AF58D3"/>
    <w:rsid w:val="00AF703C"/>
    <w:rsid w:val="00B027A4"/>
    <w:rsid w:val="00B03BAC"/>
    <w:rsid w:val="00B1173D"/>
    <w:rsid w:val="00B11EDB"/>
    <w:rsid w:val="00B23AD5"/>
    <w:rsid w:val="00B27F41"/>
    <w:rsid w:val="00B436BD"/>
    <w:rsid w:val="00B441FE"/>
    <w:rsid w:val="00B456FA"/>
    <w:rsid w:val="00B550BD"/>
    <w:rsid w:val="00B6335C"/>
    <w:rsid w:val="00B66FAE"/>
    <w:rsid w:val="00B71A0C"/>
    <w:rsid w:val="00B71C3C"/>
    <w:rsid w:val="00B81D1B"/>
    <w:rsid w:val="00B87BED"/>
    <w:rsid w:val="00B87D45"/>
    <w:rsid w:val="00B94B30"/>
    <w:rsid w:val="00BA66A1"/>
    <w:rsid w:val="00BD21D6"/>
    <w:rsid w:val="00BF7737"/>
    <w:rsid w:val="00C02221"/>
    <w:rsid w:val="00C15FD0"/>
    <w:rsid w:val="00C21D22"/>
    <w:rsid w:val="00C4346B"/>
    <w:rsid w:val="00C5042B"/>
    <w:rsid w:val="00C54C8D"/>
    <w:rsid w:val="00C65F76"/>
    <w:rsid w:val="00C837F7"/>
    <w:rsid w:val="00C96DA2"/>
    <w:rsid w:val="00CA54CE"/>
    <w:rsid w:val="00CB58F8"/>
    <w:rsid w:val="00CC144B"/>
    <w:rsid w:val="00CC2C34"/>
    <w:rsid w:val="00CC724D"/>
    <w:rsid w:val="00CC752C"/>
    <w:rsid w:val="00CD4858"/>
    <w:rsid w:val="00CE09ED"/>
    <w:rsid w:val="00D117A1"/>
    <w:rsid w:val="00D2116C"/>
    <w:rsid w:val="00D35B68"/>
    <w:rsid w:val="00D57D2C"/>
    <w:rsid w:val="00D67CE3"/>
    <w:rsid w:val="00D75C4E"/>
    <w:rsid w:val="00D92C2D"/>
    <w:rsid w:val="00D95D17"/>
    <w:rsid w:val="00DA145E"/>
    <w:rsid w:val="00DB17B6"/>
    <w:rsid w:val="00DB3BA2"/>
    <w:rsid w:val="00DC0000"/>
    <w:rsid w:val="00DF7A95"/>
    <w:rsid w:val="00E023B3"/>
    <w:rsid w:val="00E161FB"/>
    <w:rsid w:val="00E25501"/>
    <w:rsid w:val="00E33B70"/>
    <w:rsid w:val="00E54EE5"/>
    <w:rsid w:val="00E611EB"/>
    <w:rsid w:val="00E9125D"/>
    <w:rsid w:val="00E96B27"/>
    <w:rsid w:val="00EA20C2"/>
    <w:rsid w:val="00EA20FA"/>
    <w:rsid w:val="00EA3688"/>
    <w:rsid w:val="00EA54DF"/>
    <w:rsid w:val="00EB7867"/>
    <w:rsid w:val="00ED3200"/>
    <w:rsid w:val="00EE2812"/>
    <w:rsid w:val="00EE39FC"/>
    <w:rsid w:val="00EE6C24"/>
    <w:rsid w:val="00EE7878"/>
    <w:rsid w:val="00F077BD"/>
    <w:rsid w:val="00F12BD4"/>
    <w:rsid w:val="00F130AA"/>
    <w:rsid w:val="00F34E15"/>
    <w:rsid w:val="00F36E85"/>
    <w:rsid w:val="00F56652"/>
    <w:rsid w:val="00F643DA"/>
    <w:rsid w:val="00F7437E"/>
    <w:rsid w:val="00F93342"/>
    <w:rsid w:val="00FA34B7"/>
    <w:rsid w:val="00FB5905"/>
    <w:rsid w:val="00FD78A8"/>
    <w:rsid w:val="00FE0947"/>
    <w:rsid w:val="00FE1F15"/>
    <w:rsid w:val="00FE71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2D121"/>
  <w15:docId w15:val="{1D236CA3-C91F-40D6-BB68-E90A80D9B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A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5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5A74"/>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Hyperlink">
    <w:name w:val="Hyperlink"/>
    <w:basedOn w:val="DefaultParagraphFont"/>
    <w:uiPriority w:val="99"/>
    <w:unhideWhenUsed/>
    <w:rsid w:val="006E5A74"/>
    <w:rPr>
      <w:color w:val="0000FF"/>
      <w:u w:val="single"/>
    </w:rPr>
  </w:style>
  <w:style w:type="paragraph" w:styleId="Title">
    <w:name w:val="Title"/>
    <w:basedOn w:val="Normal"/>
    <w:link w:val="TitleChar"/>
    <w:uiPriority w:val="10"/>
    <w:qFormat/>
    <w:rsid w:val="002942B5"/>
    <w:pPr>
      <w:widowControl w:val="0"/>
      <w:autoSpaceDE w:val="0"/>
      <w:autoSpaceDN w:val="0"/>
      <w:spacing w:before="81" w:after="0" w:line="240" w:lineRule="auto"/>
      <w:ind w:left="1559" w:right="2061"/>
      <w:jc w:val="center"/>
    </w:pPr>
    <w:rPr>
      <w:rFonts w:ascii="Calibri" w:eastAsia="Calibri" w:hAnsi="Calibri" w:cs="Calibri"/>
      <w:b/>
      <w:bCs/>
      <w:sz w:val="21"/>
      <w:szCs w:val="21"/>
    </w:rPr>
  </w:style>
  <w:style w:type="character" w:customStyle="1" w:styleId="TitleChar">
    <w:name w:val="Title Char"/>
    <w:basedOn w:val="DefaultParagraphFont"/>
    <w:link w:val="Title"/>
    <w:uiPriority w:val="10"/>
    <w:rsid w:val="002942B5"/>
    <w:rPr>
      <w:rFonts w:ascii="Calibri" w:eastAsia="Calibri" w:hAnsi="Calibri" w:cs="Calibri"/>
      <w:b/>
      <w:bCs/>
      <w:sz w:val="21"/>
      <w:szCs w:val="21"/>
    </w:rPr>
  </w:style>
  <w:style w:type="paragraph" w:customStyle="1" w:styleId="TableParagraph">
    <w:name w:val="Table Paragraph"/>
    <w:basedOn w:val="Normal"/>
    <w:uiPriority w:val="1"/>
    <w:qFormat/>
    <w:rsid w:val="00023310"/>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613543">
      <w:bodyDiv w:val="1"/>
      <w:marLeft w:val="0"/>
      <w:marRight w:val="0"/>
      <w:marTop w:val="0"/>
      <w:marBottom w:val="0"/>
      <w:divBdr>
        <w:top w:val="none" w:sz="0" w:space="0" w:color="auto"/>
        <w:left w:val="none" w:sz="0" w:space="0" w:color="auto"/>
        <w:bottom w:val="none" w:sz="0" w:space="0" w:color="auto"/>
        <w:right w:val="none" w:sz="0" w:space="0" w:color="auto"/>
      </w:divBdr>
      <w:divsChild>
        <w:div w:id="583884347">
          <w:marLeft w:val="0"/>
          <w:marRight w:val="0"/>
          <w:marTop w:val="0"/>
          <w:marBottom w:val="0"/>
          <w:divBdr>
            <w:top w:val="none" w:sz="0" w:space="0" w:color="auto"/>
            <w:left w:val="none" w:sz="0" w:space="0" w:color="auto"/>
            <w:bottom w:val="none" w:sz="0" w:space="0" w:color="auto"/>
            <w:right w:val="none" w:sz="0" w:space="0" w:color="auto"/>
          </w:divBdr>
          <w:divsChild>
            <w:div w:id="180439857">
              <w:marLeft w:val="0"/>
              <w:marRight w:val="0"/>
              <w:marTop w:val="0"/>
              <w:marBottom w:val="0"/>
              <w:divBdr>
                <w:top w:val="none" w:sz="0" w:space="0" w:color="auto"/>
                <w:left w:val="none" w:sz="0" w:space="0" w:color="auto"/>
                <w:bottom w:val="none" w:sz="0" w:space="0" w:color="auto"/>
                <w:right w:val="none" w:sz="0" w:space="0" w:color="auto"/>
              </w:divBdr>
              <w:divsChild>
                <w:div w:id="204794522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76802016">
      <w:bodyDiv w:val="1"/>
      <w:marLeft w:val="0"/>
      <w:marRight w:val="0"/>
      <w:marTop w:val="0"/>
      <w:marBottom w:val="0"/>
      <w:divBdr>
        <w:top w:val="none" w:sz="0" w:space="0" w:color="auto"/>
        <w:left w:val="none" w:sz="0" w:space="0" w:color="auto"/>
        <w:bottom w:val="none" w:sz="0" w:space="0" w:color="auto"/>
        <w:right w:val="none" w:sz="0" w:space="0" w:color="auto"/>
      </w:divBdr>
      <w:divsChild>
        <w:div w:id="972439537">
          <w:marLeft w:val="0"/>
          <w:marRight w:val="0"/>
          <w:marTop w:val="0"/>
          <w:marBottom w:val="0"/>
          <w:divBdr>
            <w:top w:val="none" w:sz="0" w:space="0" w:color="auto"/>
            <w:left w:val="none" w:sz="0" w:space="0" w:color="auto"/>
            <w:bottom w:val="none" w:sz="0" w:space="0" w:color="auto"/>
            <w:right w:val="none" w:sz="0" w:space="0" w:color="auto"/>
          </w:divBdr>
          <w:divsChild>
            <w:div w:id="268851288">
              <w:marLeft w:val="0"/>
              <w:marRight w:val="0"/>
              <w:marTop w:val="0"/>
              <w:marBottom w:val="0"/>
              <w:divBdr>
                <w:top w:val="none" w:sz="0" w:space="0" w:color="auto"/>
                <w:left w:val="none" w:sz="0" w:space="0" w:color="auto"/>
                <w:bottom w:val="none" w:sz="0" w:space="0" w:color="auto"/>
                <w:right w:val="none" w:sz="0" w:space="0" w:color="auto"/>
              </w:divBdr>
              <w:divsChild>
                <w:div w:id="140483258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base.com/search/results?subaction=viewrecord&amp;id=L614309298&amp;from=export" TargetMode="External"/><Relationship Id="rId3" Type="http://schemas.openxmlformats.org/officeDocument/2006/relationships/settings" Target="settings.xml"/><Relationship Id="rId7" Type="http://schemas.openxmlformats.org/officeDocument/2006/relationships/hyperlink" Target="https://www.embase.com/search/results?subaction=viewrecord&amp;id=L71265032&amp;from=expor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mbase.com/search/results?subaction=viewrecord&amp;id=L70961817&amp;from=export" TargetMode="External"/><Relationship Id="rId11" Type="http://schemas.openxmlformats.org/officeDocument/2006/relationships/theme" Target="theme/theme1.xml"/><Relationship Id="rId5" Type="http://schemas.openxmlformats.org/officeDocument/2006/relationships/hyperlink" Target="https://www.embase.com/search/results?subaction=viewrecord&amp;id=L620385243&amp;from=expor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base.com/search/results?subaction=viewrecord&amp;id=L72319287&amp;from=ex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EF888-576B-4C5C-B122-6BCF558A5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11</Pages>
  <Words>3519</Words>
  <Characters>20624</Characters>
  <Application>Microsoft Office Word</Application>
  <DocSecurity>0</DocSecurity>
  <Lines>896</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Sikha Morang</cp:lastModifiedBy>
  <cp:revision>255</cp:revision>
  <dcterms:created xsi:type="dcterms:W3CDTF">2022-05-12T16:26:00Z</dcterms:created>
  <dcterms:modified xsi:type="dcterms:W3CDTF">2024-06-04T09:14:00Z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3e429bd318e480779ecd3a2df343100dbc25206e3f3e34c382007e3cb06ccc23</vt:lpwstr>
  </property>
</Properties>
</file>