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2D122" w14:textId="11A3EA5A" w:rsidR="006E5A74" w:rsidRPr="007B35CA" w:rsidRDefault="006E5A74" w:rsidP="00B81D1B">
      <w:pPr>
        <w:rPr>
          <w:rFonts w:ascii="Times New Roman" w:hAnsi="Times New Roman" w:cs="Times New Roman"/>
          <w:b/>
          <w:color w:val="0D0D0D" w:themeColor="text1" w:themeTint="F2"/>
          <w:sz w:val="24"/>
          <w:szCs w:val="24"/>
          <w:u w:val="single"/>
        </w:rPr>
      </w:pPr>
      <w:r w:rsidRPr="007B35CA">
        <w:rPr>
          <w:rFonts w:ascii="Times New Roman" w:hAnsi="Times New Roman" w:cs="Times New Roman"/>
          <w:b/>
          <w:color w:val="0D0D0D" w:themeColor="text1" w:themeTint="F2"/>
          <w:sz w:val="24"/>
          <w:szCs w:val="24"/>
          <w:u w:val="single"/>
        </w:rPr>
        <w:t>Supplementary</w:t>
      </w:r>
      <w:r w:rsidR="00283B27" w:rsidRPr="007B35CA">
        <w:rPr>
          <w:rFonts w:ascii="Times New Roman" w:hAnsi="Times New Roman" w:cs="Times New Roman"/>
          <w:b/>
          <w:color w:val="0D0D0D" w:themeColor="text1" w:themeTint="F2"/>
          <w:sz w:val="24"/>
          <w:szCs w:val="24"/>
          <w:u w:val="single"/>
        </w:rPr>
        <w:t xml:space="preserve"> </w:t>
      </w:r>
      <w:r w:rsidR="00CC752C" w:rsidRPr="007B35CA">
        <w:rPr>
          <w:rFonts w:ascii="Times New Roman" w:hAnsi="Times New Roman" w:cs="Times New Roman"/>
          <w:b/>
          <w:color w:val="0D0D0D" w:themeColor="text1" w:themeTint="F2"/>
          <w:sz w:val="24"/>
          <w:szCs w:val="24"/>
          <w:u w:val="single"/>
        </w:rPr>
        <w:t>Table S1</w:t>
      </w:r>
      <w:r w:rsidR="00A50279" w:rsidRPr="007B35CA">
        <w:rPr>
          <w:rFonts w:ascii="Times New Roman" w:hAnsi="Times New Roman" w:cs="Times New Roman"/>
          <w:b/>
          <w:color w:val="0D0D0D" w:themeColor="text1" w:themeTint="F2"/>
          <w:sz w:val="24"/>
          <w:szCs w:val="24"/>
          <w:u w:val="single"/>
        </w:rPr>
        <w:t>a</w:t>
      </w:r>
      <w:r w:rsidR="00283B27" w:rsidRPr="007B35CA">
        <w:rPr>
          <w:rFonts w:ascii="Times New Roman" w:hAnsi="Times New Roman" w:cs="Times New Roman"/>
          <w:b/>
          <w:color w:val="0D0D0D" w:themeColor="text1" w:themeTint="F2"/>
          <w:sz w:val="24"/>
          <w:szCs w:val="24"/>
          <w:u w:val="single"/>
        </w:rPr>
        <w:t>:</w:t>
      </w:r>
      <w:r w:rsidR="0014319A" w:rsidRPr="007B35CA">
        <w:rPr>
          <w:rFonts w:ascii="Times New Roman" w:hAnsi="Times New Roman" w:cs="Times New Roman"/>
          <w:b/>
          <w:color w:val="0D0D0D" w:themeColor="text1" w:themeTint="F2"/>
          <w:sz w:val="24"/>
          <w:szCs w:val="24"/>
          <w:u w:val="single"/>
        </w:rPr>
        <w:t xml:space="preserve"> </w:t>
      </w:r>
      <w:r w:rsidRPr="007B35CA">
        <w:rPr>
          <w:rFonts w:ascii="Times New Roman" w:hAnsi="Times New Roman" w:cs="Times New Roman"/>
          <w:b/>
          <w:color w:val="0D0D0D" w:themeColor="text1" w:themeTint="F2"/>
          <w:sz w:val="24"/>
          <w:szCs w:val="24"/>
          <w:u w:val="single"/>
        </w:rPr>
        <w:t>PRISMA 2020 Checklist</w:t>
      </w:r>
    </w:p>
    <w:tbl>
      <w:tblPr>
        <w:tblW w:w="9768" w:type="dxa"/>
        <w:tblBorders>
          <w:top w:val="nil"/>
          <w:left w:val="nil"/>
          <w:bottom w:val="nil"/>
          <w:right w:val="nil"/>
        </w:tblBorders>
        <w:tblLook w:val="0000" w:firstRow="0" w:lastRow="0" w:firstColumn="0" w:lastColumn="0" w:noHBand="0" w:noVBand="0"/>
      </w:tblPr>
      <w:tblGrid>
        <w:gridCol w:w="1666"/>
        <w:gridCol w:w="696"/>
        <w:gridCol w:w="6203"/>
        <w:gridCol w:w="1203"/>
      </w:tblGrid>
      <w:tr w:rsidR="006E5A74" w:rsidRPr="00B81D1B" w14:paraId="44F2D127" w14:textId="77777777" w:rsidTr="008B5BFD">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F2D123" w14:textId="77777777" w:rsidR="006E5A74" w:rsidRPr="00B81D1B" w:rsidRDefault="006E5A74"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F2D124" w14:textId="77777777" w:rsidR="006E5A74" w:rsidRPr="00B81D1B" w:rsidRDefault="006E5A74" w:rsidP="00B81D1B">
            <w:pPr>
              <w:pStyle w:val="Default"/>
              <w:rPr>
                <w:rFonts w:ascii="Times New Roman" w:hAnsi="Times New Roman" w:cs="Times New Roman"/>
                <w:b/>
                <w:bCs/>
                <w:color w:val="FFFFFF"/>
              </w:rPr>
            </w:pPr>
            <w:r w:rsidRPr="00B81D1B">
              <w:rPr>
                <w:rFonts w:ascii="Times New Roman" w:hAnsi="Times New Roman" w:cs="Times New Roman"/>
                <w:b/>
                <w:bCs/>
                <w:color w:val="FFFFFF"/>
              </w:rPr>
              <w:t>Item #</w:t>
            </w:r>
          </w:p>
        </w:tc>
        <w:tc>
          <w:tcPr>
            <w:tcW w:w="631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F2D125" w14:textId="77777777" w:rsidR="006E5A74" w:rsidRPr="00B81D1B" w:rsidRDefault="006E5A74"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F2D126" w14:textId="77777777" w:rsidR="006E5A74" w:rsidRPr="00B81D1B" w:rsidRDefault="006E5A74"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Location where item is reported </w:t>
            </w:r>
          </w:p>
        </w:tc>
      </w:tr>
      <w:tr w:rsidR="006E5A74" w:rsidRPr="00B81D1B" w14:paraId="44F2D12A"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28"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29" w14:textId="77777777" w:rsidR="006E5A74" w:rsidRPr="00B81D1B" w:rsidRDefault="006E5A74" w:rsidP="00B81D1B">
            <w:pPr>
              <w:pStyle w:val="Default"/>
              <w:rPr>
                <w:rFonts w:ascii="Times New Roman" w:hAnsi="Times New Roman" w:cs="Times New Roman"/>
                <w:color w:val="auto"/>
              </w:rPr>
            </w:pPr>
          </w:p>
        </w:tc>
      </w:tr>
      <w:tr w:rsidR="006E5A74" w:rsidRPr="00B81D1B" w14:paraId="44F2D12F" w14:textId="77777777" w:rsidTr="008B5BFD">
        <w:trPr>
          <w:trHeight w:val="48"/>
        </w:trPr>
        <w:tc>
          <w:tcPr>
            <w:tcW w:w="1668" w:type="dxa"/>
            <w:tcBorders>
              <w:top w:val="single" w:sz="5" w:space="0" w:color="000000"/>
              <w:left w:val="single" w:sz="5" w:space="0" w:color="000000"/>
              <w:bottom w:val="double" w:sz="2" w:space="0" w:color="FFFFCC"/>
              <w:right w:val="single" w:sz="5" w:space="0" w:color="000000"/>
            </w:tcBorders>
          </w:tcPr>
          <w:p w14:paraId="44F2D12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4F2D12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w:t>
            </w:r>
          </w:p>
        </w:tc>
        <w:tc>
          <w:tcPr>
            <w:tcW w:w="6313" w:type="dxa"/>
            <w:tcBorders>
              <w:top w:val="single" w:sz="5" w:space="0" w:color="000000"/>
              <w:left w:val="single" w:sz="5" w:space="0" w:color="000000"/>
              <w:bottom w:val="double" w:sz="5" w:space="0" w:color="000000"/>
              <w:right w:val="single" w:sz="5" w:space="0" w:color="000000"/>
            </w:tcBorders>
          </w:tcPr>
          <w:p w14:paraId="44F2D12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4F2D12E" w14:textId="30CF05FB" w:rsidR="006E5A74" w:rsidRPr="00B81D1B" w:rsidRDefault="007F397D" w:rsidP="00B81D1B">
            <w:pPr>
              <w:pStyle w:val="Default"/>
              <w:spacing w:before="40" w:after="40"/>
              <w:rPr>
                <w:rFonts w:ascii="Times New Roman" w:hAnsi="Times New Roman" w:cs="Times New Roman"/>
                <w:color w:val="auto"/>
              </w:rPr>
            </w:pPr>
            <w:r>
              <w:rPr>
                <w:rFonts w:ascii="Times New Roman" w:hAnsi="Times New Roman" w:cs="Times New Roman"/>
                <w:color w:val="auto"/>
              </w:rPr>
              <w:t>1</w:t>
            </w:r>
          </w:p>
        </w:tc>
      </w:tr>
      <w:tr w:rsidR="006E5A74" w:rsidRPr="00B81D1B" w14:paraId="44F2D132"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30"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31" w14:textId="77777777" w:rsidR="006E5A74" w:rsidRPr="00B81D1B" w:rsidRDefault="006E5A74" w:rsidP="00B81D1B">
            <w:pPr>
              <w:pStyle w:val="Default"/>
              <w:rPr>
                <w:rFonts w:ascii="Times New Roman" w:hAnsi="Times New Roman" w:cs="Times New Roman"/>
                <w:color w:val="auto"/>
              </w:rPr>
            </w:pPr>
          </w:p>
        </w:tc>
      </w:tr>
      <w:tr w:rsidR="006E5A74" w:rsidRPr="00B81D1B" w14:paraId="44F2D137" w14:textId="77777777" w:rsidTr="008B5BFD">
        <w:trPr>
          <w:trHeight w:val="48"/>
        </w:trPr>
        <w:tc>
          <w:tcPr>
            <w:tcW w:w="1668" w:type="dxa"/>
            <w:tcBorders>
              <w:top w:val="single" w:sz="5" w:space="0" w:color="000000"/>
              <w:left w:val="single" w:sz="5" w:space="0" w:color="000000"/>
              <w:bottom w:val="double" w:sz="2" w:space="0" w:color="FFFFCC"/>
              <w:right w:val="single" w:sz="5" w:space="0" w:color="000000"/>
            </w:tcBorders>
          </w:tcPr>
          <w:p w14:paraId="44F2D13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4F2D13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w:t>
            </w:r>
          </w:p>
        </w:tc>
        <w:tc>
          <w:tcPr>
            <w:tcW w:w="6313" w:type="dxa"/>
            <w:tcBorders>
              <w:top w:val="single" w:sz="5" w:space="0" w:color="000000"/>
              <w:left w:val="single" w:sz="5" w:space="0" w:color="000000"/>
              <w:bottom w:val="double" w:sz="5" w:space="0" w:color="000000"/>
              <w:right w:val="single" w:sz="5" w:space="0" w:color="000000"/>
            </w:tcBorders>
          </w:tcPr>
          <w:p w14:paraId="44F2D13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44F2D136" w14:textId="12A72723" w:rsidR="006E5A74" w:rsidRPr="00B81D1B" w:rsidRDefault="006E5A74" w:rsidP="00B81D1B">
            <w:pPr>
              <w:pStyle w:val="Default"/>
              <w:spacing w:before="40" w:after="40"/>
              <w:rPr>
                <w:rFonts w:ascii="Times New Roman" w:hAnsi="Times New Roman" w:cs="Times New Roman"/>
                <w:color w:val="auto"/>
              </w:rPr>
            </w:pPr>
          </w:p>
        </w:tc>
      </w:tr>
      <w:tr w:rsidR="006E5A74" w:rsidRPr="00B81D1B" w14:paraId="44F2D13A"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38"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39" w14:textId="77777777" w:rsidR="006E5A74" w:rsidRPr="00B81D1B" w:rsidRDefault="006E5A74" w:rsidP="00B81D1B">
            <w:pPr>
              <w:pStyle w:val="Default"/>
              <w:rPr>
                <w:rFonts w:ascii="Times New Roman" w:hAnsi="Times New Roman" w:cs="Times New Roman"/>
                <w:color w:val="auto"/>
              </w:rPr>
            </w:pPr>
          </w:p>
        </w:tc>
      </w:tr>
      <w:tr w:rsidR="006E5A74" w:rsidRPr="00B81D1B" w14:paraId="44F2D13F"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3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4F2D13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3</w:t>
            </w:r>
          </w:p>
        </w:tc>
        <w:tc>
          <w:tcPr>
            <w:tcW w:w="6313" w:type="dxa"/>
            <w:tcBorders>
              <w:top w:val="single" w:sz="5" w:space="0" w:color="000000"/>
              <w:left w:val="single" w:sz="5" w:space="0" w:color="000000"/>
              <w:bottom w:val="single" w:sz="5" w:space="0" w:color="000000"/>
              <w:right w:val="single" w:sz="5" w:space="0" w:color="000000"/>
            </w:tcBorders>
          </w:tcPr>
          <w:p w14:paraId="44F2D13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4F2D13E" w14:textId="0F7A2BC4"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4</w:t>
            </w:r>
          </w:p>
        </w:tc>
      </w:tr>
      <w:tr w:rsidR="006E5A74" w:rsidRPr="00B81D1B" w14:paraId="44F2D144" w14:textId="77777777" w:rsidTr="008B5BFD">
        <w:trPr>
          <w:trHeight w:val="48"/>
        </w:trPr>
        <w:tc>
          <w:tcPr>
            <w:tcW w:w="1668" w:type="dxa"/>
            <w:tcBorders>
              <w:top w:val="single" w:sz="5" w:space="0" w:color="000000"/>
              <w:left w:val="single" w:sz="5" w:space="0" w:color="000000"/>
              <w:bottom w:val="double" w:sz="2" w:space="0" w:color="FFFFCC"/>
              <w:right w:val="single" w:sz="5" w:space="0" w:color="000000"/>
            </w:tcBorders>
          </w:tcPr>
          <w:p w14:paraId="44F2D14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4F2D14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4</w:t>
            </w:r>
          </w:p>
        </w:tc>
        <w:tc>
          <w:tcPr>
            <w:tcW w:w="6313" w:type="dxa"/>
            <w:tcBorders>
              <w:top w:val="single" w:sz="5" w:space="0" w:color="000000"/>
              <w:left w:val="single" w:sz="5" w:space="0" w:color="000000"/>
              <w:bottom w:val="double" w:sz="5" w:space="0" w:color="000000"/>
              <w:right w:val="single" w:sz="5" w:space="0" w:color="000000"/>
            </w:tcBorders>
          </w:tcPr>
          <w:p w14:paraId="44F2D14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44F2D143" w14:textId="26C046A2"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4</w:t>
            </w:r>
          </w:p>
        </w:tc>
      </w:tr>
      <w:tr w:rsidR="006E5A74" w:rsidRPr="00B81D1B" w14:paraId="44F2D147"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45"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46" w14:textId="77777777" w:rsidR="006E5A74" w:rsidRPr="00B81D1B" w:rsidRDefault="006E5A74" w:rsidP="00B81D1B">
            <w:pPr>
              <w:pStyle w:val="Default"/>
              <w:rPr>
                <w:rFonts w:ascii="Times New Roman" w:hAnsi="Times New Roman" w:cs="Times New Roman"/>
                <w:color w:val="auto"/>
              </w:rPr>
            </w:pPr>
          </w:p>
        </w:tc>
      </w:tr>
      <w:tr w:rsidR="006E5A74" w:rsidRPr="00B81D1B" w14:paraId="44F2D14C"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48"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44F2D149"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5</w:t>
            </w:r>
          </w:p>
        </w:tc>
        <w:tc>
          <w:tcPr>
            <w:tcW w:w="6313" w:type="dxa"/>
            <w:tcBorders>
              <w:top w:val="single" w:sz="5" w:space="0" w:color="000000"/>
              <w:left w:val="single" w:sz="5" w:space="0" w:color="000000"/>
              <w:bottom w:val="single" w:sz="5" w:space="0" w:color="000000"/>
              <w:right w:val="single" w:sz="5" w:space="0" w:color="000000"/>
            </w:tcBorders>
          </w:tcPr>
          <w:p w14:paraId="44F2D14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44F2D14B" w14:textId="48608A5E" w:rsidR="006E5A74" w:rsidRPr="00B81D1B" w:rsidRDefault="0044239E" w:rsidP="00B81D1B">
            <w:pPr>
              <w:pStyle w:val="Default"/>
              <w:spacing w:before="40" w:after="40"/>
              <w:rPr>
                <w:rFonts w:ascii="Times New Roman" w:hAnsi="Times New Roman" w:cs="Times New Roman"/>
                <w:color w:val="auto"/>
              </w:rPr>
            </w:pPr>
            <w:r>
              <w:rPr>
                <w:rFonts w:ascii="Times New Roman" w:hAnsi="Times New Roman" w:cs="Times New Roman"/>
                <w:color w:val="auto"/>
              </w:rPr>
              <w:t>5,6</w:t>
            </w:r>
          </w:p>
        </w:tc>
      </w:tr>
      <w:tr w:rsidR="006E5A74" w:rsidRPr="00B81D1B" w14:paraId="44F2D151" w14:textId="77777777" w:rsidTr="008B5BFD">
        <w:trPr>
          <w:trHeight w:val="191"/>
        </w:trPr>
        <w:tc>
          <w:tcPr>
            <w:tcW w:w="1668" w:type="dxa"/>
            <w:tcBorders>
              <w:top w:val="single" w:sz="5" w:space="0" w:color="000000"/>
              <w:left w:val="single" w:sz="5" w:space="0" w:color="000000"/>
              <w:bottom w:val="single" w:sz="5" w:space="0" w:color="000000"/>
              <w:right w:val="single" w:sz="5" w:space="0" w:color="000000"/>
            </w:tcBorders>
          </w:tcPr>
          <w:p w14:paraId="44F2D14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4F2D14E"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6</w:t>
            </w:r>
          </w:p>
        </w:tc>
        <w:tc>
          <w:tcPr>
            <w:tcW w:w="6313" w:type="dxa"/>
            <w:tcBorders>
              <w:top w:val="single" w:sz="5" w:space="0" w:color="000000"/>
              <w:left w:val="single" w:sz="5" w:space="0" w:color="000000"/>
              <w:bottom w:val="single" w:sz="5" w:space="0" w:color="000000"/>
              <w:right w:val="single" w:sz="5" w:space="0" w:color="000000"/>
            </w:tcBorders>
          </w:tcPr>
          <w:p w14:paraId="44F2D14F"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44F2D150" w14:textId="79241DA2" w:rsidR="006E5A74" w:rsidRPr="00B81D1B" w:rsidRDefault="0044239E" w:rsidP="00B81D1B">
            <w:pPr>
              <w:pStyle w:val="Default"/>
              <w:spacing w:before="40" w:after="40"/>
              <w:rPr>
                <w:rFonts w:ascii="Times New Roman" w:hAnsi="Times New Roman" w:cs="Times New Roman"/>
                <w:color w:val="auto"/>
              </w:rPr>
            </w:pPr>
            <w:r>
              <w:rPr>
                <w:rFonts w:ascii="Times New Roman" w:hAnsi="Times New Roman" w:cs="Times New Roman"/>
                <w:color w:val="auto"/>
              </w:rPr>
              <w:t>5</w:t>
            </w:r>
          </w:p>
        </w:tc>
      </w:tr>
      <w:tr w:rsidR="006E5A74" w:rsidRPr="00B81D1B" w14:paraId="44F2D156"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5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4F2D15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7</w:t>
            </w:r>
          </w:p>
        </w:tc>
        <w:tc>
          <w:tcPr>
            <w:tcW w:w="6313" w:type="dxa"/>
            <w:tcBorders>
              <w:top w:val="single" w:sz="5" w:space="0" w:color="000000"/>
              <w:left w:val="single" w:sz="5" w:space="0" w:color="000000"/>
              <w:bottom w:val="single" w:sz="5" w:space="0" w:color="000000"/>
              <w:right w:val="single" w:sz="5" w:space="0" w:color="000000"/>
            </w:tcBorders>
          </w:tcPr>
          <w:p w14:paraId="44F2D15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44F2D155" w14:textId="663E64FE" w:rsidR="006E5A74" w:rsidRPr="00B81D1B" w:rsidRDefault="0044239E" w:rsidP="00B81D1B">
            <w:pPr>
              <w:pStyle w:val="Default"/>
              <w:spacing w:before="40" w:after="40"/>
              <w:rPr>
                <w:rFonts w:ascii="Times New Roman" w:hAnsi="Times New Roman" w:cs="Times New Roman"/>
                <w:color w:val="auto"/>
              </w:rPr>
            </w:pPr>
            <w:r>
              <w:rPr>
                <w:rFonts w:ascii="Times New Roman" w:hAnsi="Times New Roman" w:cs="Times New Roman"/>
                <w:color w:val="auto"/>
              </w:rPr>
              <w:t>5</w:t>
            </w:r>
          </w:p>
        </w:tc>
      </w:tr>
      <w:tr w:rsidR="006E5A74" w:rsidRPr="00B81D1B" w14:paraId="44F2D15B"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57"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4F2D158"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8</w:t>
            </w:r>
          </w:p>
        </w:tc>
        <w:tc>
          <w:tcPr>
            <w:tcW w:w="6313" w:type="dxa"/>
            <w:tcBorders>
              <w:top w:val="single" w:sz="5" w:space="0" w:color="000000"/>
              <w:left w:val="single" w:sz="5" w:space="0" w:color="000000"/>
              <w:bottom w:val="single" w:sz="5" w:space="0" w:color="000000"/>
              <w:right w:val="single" w:sz="5" w:space="0" w:color="000000"/>
            </w:tcBorders>
          </w:tcPr>
          <w:p w14:paraId="44F2D159"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4F2D15A" w14:textId="12FAE5A4" w:rsidR="006E5A74" w:rsidRPr="00B81D1B" w:rsidRDefault="0044239E" w:rsidP="00B81D1B">
            <w:pPr>
              <w:pStyle w:val="Default"/>
              <w:spacing w:before="40" w:after="40"/>
              <w:rPr>
                <w:rFonts w:ascii="Times New Roman" w:hAnsi="Times New Roman" w:cs="Times New Roman"/>
                <w:color w:val="auto"/>
              </w:rPr>
            </w:pPr>
            <w:r>
              <w:rPr>
                <w:rFonts w:ascii="Times New Roman" w:hAnsi="Times New Roman" w:cs="Times New Roman"/>
                <w:color w:val="auto"/>
              </w:rPr>
              <w:t>6</w:t>
            </w:r>
          </w:p>
        </w:tc>
      </w:tr>
      <w:tr w:rsidR="006E5A74" w:rsidRPr="00B81D1B" w14:paraId="44F2D160" w14:textId="77777777" w:rsidTr="008B5BFD">
        <w:trPr>
          <w:trHeight w:val="152"/>
        </w:trPr>
        <w:tc>
          <w:tcPr>
            <w:tcW w:w="1668" w:type="dxa"/>
            <w:tcBorders>
              <w:top w:val="single" w:sz="5" w:space="0" w:color="000000"/>
              <w:left w:val="single" w:sz="5" w:space="0" w:color="000000"/>
              <w:bottom w:val="single" w:sz="5" w:space="0" w:color="000000"/>
              <w:right w:val="single" w:sz="5" w:space="0" w:color="000000"/>
            </w:tcBorders>
          </w:tcPr>
          <w:p w14:paraId="44F2D15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4F2D15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9</w:t>
            </w:r>
          </w:p>
        </w:tc>
        <w:tc>
          <w:tcPr>
            <w:tcW w:w="6313" w:type="dxa"/>
            <w:tcBorders>
              <w:top w:val="single" w:sz="5" w:space="0" w:color="000000"/>
              <w:left w:val="single" w:sz="5" w:space="0" w:color="000000"/>
              <w:bottom w:val="single" w:sz="5" w:space="0" w:color="000000"/>
              <w:right w:val="single" w:sz="5" w:space="0" w:color="000000"/>
            </w:tcBorders>
          </w:tcPr>
          <w:p w14:paraId="44F2D15E"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4F2D15F" w14:textId="00E9F7F5"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6</w:t>
            </w:r>
          </w:p>
        </w:tc>
      </w:tr>
      <w:tr w:rsidR="006E5A74" w:rsidRPr="00B81D1B" w14:paraId="44F2D165"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6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4F2D16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10a</w:t>
            </w:r>
          </w:p>
        </w:tc>
        <w:tc>
          <w:tcPr>
            <w:tcW w:w="6313" w:type="dxa"/>
            <w:tcBorders>
              <w:top w:val="single" w:sz="5" w:space="0" w:color="000000"/>
              <w:left w:val="single" w:sz="5" w:space="0" w:color="000000"/>
              <w:bottom w:val="single" w:sz="5" w:space="0" w:color="000000"/>
              <w:right w:val="single" w:sz="5" w:space="0" w:color="000000"/>
            </w:tcBorders>
          </w:tcPr>
          <w:p w14:paraId="44F2D16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44F2D164" w14:textId="01FF5F94" w:rsidR="006E5A74" w:rsidRPr="00B81D1B" w:rsidRDefault="0036130D" w:rsidP="00B81D1B">
            <w:pPr>
              <w:pStyle w:val="Default"/>
              <w:spacing w:before="40" w:after="40"/>
              <w:rPr>
                <w:rFonts w:ascii="Times New Roman" w:hAnsi="Times New Roman" w:cs="Times New Roman"/>
                <w:color w:val="auto"/>
              </w:rPr>
            </w:pPr>
            <w:r>
              <w:rPr>
                <w:rFonts w:ascii="Times New Roman" w:hAnsi="Times New Roman" w:cs="Times New Roman"/>
                <w:color w:val="auto"/>
              </w:rPr>
              <w:t>7</w:t>
            </w:r>
          </w:p>
        </w:tc>
      </w:tr>
      <w:tr w:rsidR="006E5A74" w:rsidRPr="00B81D1B" w14:paraId="44F2D16A" w14:textId="77777777" w:rsidTr="008B5BFD">
        <w:trPr>
          <w:trHeight w:val="48"/>
        </w:trPr>
        <w:tc>
          <w:tcPr>
            <w:tcW w:w="1668" w:type="dxa"/>
            <w:vMerge/>
            <w:tcBorders>
              <w:left w:val="single" w:sz="5" w:space="0" w:color="000000"/>
              <w:bottom w:val="single" w:sz="5" w:space="0" w:color="000000"/>
              <w:right w:val="single" w:sz="5" w:space="0" w:color="000000"/>
            </w:tcBorders>
          </w:tcPr>
          <w:p w14:paraId="44F2D166"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67"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10b</w:t>
            </w:r>
          </w:p>
        </w:tc>
        <w:tc>
          <w:tcPr>
            <w:tcW w:w="6313" w:type="dxa"/>
            <w:tcBorders>
              <w:top w:val="single" w:sz="5" w:space="0" w:color="000000"/>
              <w:left w:val="single" w:sz="5" w:space="0" w:color="000000"/>
              <w:bottom w:val="single" w:sz="5" w:space="0" w:color="000000"/>
              <w:right w:val="single" w:sz="5" w:space="0" w:color="000000"/>
            </w:tcBorders>
          </w:tcPr>
          <w:p w14:paraId="44F2D168"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List and define all other variables for which data were sought (e.g. participant and intervention characteristics, funding sources). Describe any assumptions made about any missing </w:t>
            </w:r>
            <w:r w:rsidRPr="00B81D1B">
              <w:rPr>
                <w:rFonts w:ascii="Times New Roman" w:hAnsi="Times New Roman" w:cs="Times New Roman"/>
              </w:rPr>
              <w:lastRenderedPageBreak/>
              <w:t>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44F2D169" w14:textId="210E61B7" w:rsidR="006E5A74" w:rsidRPr="00B81D1B" w:rsidRDefault="0036130D" w:rsidP="00B81D1B">
            <w:pPr>
              <w:pStyle w:val="Default"/>
              <w:spacing w:before="40" w:after="40"/>
              <w:rPr>
                <w:rFonts w:ascii="Times New Roman" w:hAnsi="Times New Roman" w:cs="Times New Roman"/>
                <w:color w:val="auto"/>
              </w:rPr>
            </w:pPr>
            <w:r>
              <w:rPr>
                <w:rFonts w:ascii="Times New Roman" w:hAnsi="Times New Roman" w:cs="Times New Roman"/>
                <w:color w:val="auto"/>
              </w:rPr>
              <w:lastRenderedPageBreak/>
              <w:t>7</w:t>
            </w:r>
          </w:p>
        </w:tc>
      </w:tr>
      <w:tr w:rsidR="006E5A74" w:rsidRPr="00B81D1B" w14:paraId="44F2D16F"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6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4F2D16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11</w:t>
            </w:r>
          </w:p>
        </w:tc>
        <w:tc>
          <w:tcPr>
            <w:tcW w:w="6313" w:type="dxa"/>
            <w:tcBorders>
              <w:top w:val="single" w:sz="5" w:space="0" w:color="000000"/>
              <w:left w:val="single" w:sz="5" w:space="0" w:color="000000"/>
              <w:bottom w:val="single" w:sz="5" w:space="0" w:color="000000"/>
              <w:right w:val="single" w:sz="5" w:space="0" w:color="000000"/>
            </w:tcBorders>
          </w:tcPr>
          <w:p w14:paraId="44F2D16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4F2D16E" w14:textId="0A9836FE"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6</w:t>
            </w:r>
          </w:p>
        </w:tc>
      </w:tr>
      <w:tr w:rsidR="006E5A74" w:rsidRPr="00B81D1B" w14:paraId="44F2D174"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7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4F2D17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12</w:t>
            </w:r>
          </w:p>
        </w:tc>
        <w:tc>
          <w:tcPr>
            <w:tcW w:w="6313" w:type="dxa"/>
            <w:tcBorders>
              <w:top w:val="single" w:sz="5" w:space="0" w:color="000000"/>
              <w:left w:val="single" w:sz="5" w:space="0" w:color="000000"/>
              <w:bottom w:val="single" w:sz="5" w:space="0" w:color="000000"/>
              <w:right w:val="single" w:sz="5" w:space="0" w:color="000000"/>
            </w:tcBorders>
          </w:tcPr>
          <w:p w14:paraId="44F2D172" w14:textId="1F64C13C"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Specify for each outcome the effect measure(s) (</w:t>
            </w:r>
            <w:r w:rsidR="00E611EB" w:rsidRPr="00B81D1B">
              <w:rPr>
                <w:rFonts w:ascii="Times New Roman" w:hAnsi="Times New Roman" w:cs="Times New Roman"/>
              </w:rPr>
              <w:t>e.g.,</w:t>
            </w:r>
            <w:r w:rsidRPr="00B81D1B">
              <w:rPr>
                <w:rFonts w:ascii="Times New Roman" w:hAnsi="Times New Roman" w:cs="Times New Roman"/>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4F2D173" w14:textId="04132026"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7</w:t>
            </w:r>
          </w:p>
        </w:tc>
      </w:tr>
      <w:tr w:rsidR="006E5A74" w:rsidRPr="00B81D1B" w14:paraId="44F2D179"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7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4F2D17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13a</w:t>
            </w:r>
          </w:p>
        </w:tc>
        <w:tc>
          <w:tcPr>
            <w:tcW w:w="6313" w:type="dxa"/>
            <w:tcBorders>
              <w:top w:val="single" w:sz="5" w:space="0" w:color="000000"/>
              <w:left w:val="single" w:sz="5" w:space="0" w:color="000000"/>
              <w:bottom w:val="single" w:sz="5" w:space="0" w:color="000000"/>
              <w:right w:val="single" w:sz="5" w:space="0" w:color="000000"/>
            </w:tcBorders>
          </w:tcPr>
          <w:p w14:paraId="44F2D177" w14:textId="4463AB12"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the processes used to decide which studies were eligible for each synthesis (</w:t>
            </w:r>
            <w:r w:rsidR="00E611EB" w:rsidRPr="00B81D1B">
              <w:rPr>
                <w:rFonts w:ascii="Times New Roman" w:hAnsi="Times New Roman" w:cs="Times New Roman"/>
              </w:rPr>
              <w:t>e.g.,</w:t>
            </w:r>
            <w:r w:rsidRPr="00B81D1B">
              <w:rPr>
                <w:rFonts w:ascii="Times New Roman" w:hAnsi="Times New Roman" w:cs="Times New Roman"/>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4F2D178" w14:textId="27565791"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 xml:space="preserve">6, </w:t>
            </w:r>
            <w:r w:rsidR="0036130D">
              <w:rPr>
                <w:rFonts w:ascii="Times New Roman" w:hAnsi="Times New Roman" w:cs="Times New Roman"/>
                <w:color w:val="auto"/>
              </w:rPr>
              <w:t>7</w:t>
            </w:r>
          </w:p>
        </w:tc>
      </w:tr>
      <w:tr w:rsidR="006E5A74" w:rsidRPr="00B81D1B" w14:paraId="44F2D17E" w14:textId="77777777" w:rsidTr="008B5BFD">
        <w:trPr>
          <w:trHeight w:val="48"/>
        </w:trPr>
        <w:tc>
          <w:tcPr>
            <w:tcW w:w="1668" w:type="dxa"/>
            <w:vMerge/>
            <w:tcBorders>
              <w:left w:val="single" w:sz="5" w:space="0" w:color="000000"/>
              <w:right w:val="single" w:sz="5" w:space="0" w:color="000000"/>
            </w:tcBorders>
          </w:tcPr>
          <w:p w14:paraId="44F2D17A"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7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13b</w:t>
            </w:r>
          </w:p>
        </w:tc>
        <w:tc>
          <w:tcPr>
            <w:tcW w:w="6313" w:type="dxa"/>
            <w:tcBorders>
              <w:top w:val="single" w:sz="5" w:space="0" w:color="000000"/>
              <w:left w:val="single" w:sz="5" w:space="0" w:color="000000"/>
              <w:bottom w:val="single" w:sz="5" w:space="0" w:color="000000"/>
              <w:right w:val="single" w:sz="5" w:space="0" w:color="000000"/>
            </w:tcBorders>
          </w:tcPr>
          <w:p w14:paraId="44F2D17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44F2D17D"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83" w14:textId="77777777" w:rsidTr="008B5BFD">
        <w:trPr>
          <w:trHeight w:val="48"/>
        </w:trPr>
        <w:tc>
          <w:tcPr>
            <w:tcW w:w="1668" w:type="dxa"/>
            <w:vMerge/>
            <w:tcBorders>
              <w:left w:val="single" w:sz="5" w:space="0" w:color="000000"/>
              <w:right w:val="single" w:sz="5" w:space="0" w:color="000000"/>
            </w:tcBorders>
          </w:tcPr>
          <w:p w14:paraId="44F2D17F"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8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13c</w:t>
            </w:r>
          </w:p>
        </w:tc>
        <w:tc>
          <w:tcPr>
            <w:tcW w:w="6313" w:type="dxa"/>
            <w:tcBorders>
              <w:top w:val="single" w:sz="5" w:space="0" w:color="000000"/>
              <w:left w:val="single" w:sz="5" w:space="0" w:color="000000"/>
              <w:bottom w:val="single" w:sz="5" w:space="0" w:color="000000"/>
              <w:right w:val="single" w:sz="5" w:space="0" w:color="000000"/>
            </w:tcBorders>
          </w:tcPr>
          <w:p w14:paraId="44F2D18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44F2D182"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88" w14:textId="77777777" w:rsidTr="008B5BFD">
        <w:trPr>
          <w:trHeight w:val="48"/>
        </w:trPr>
        <w:tc>
          <w:tcPr>
            <w:tcW w:w="1668" w:type="dxa"/>
            <w:vMerge/>
            <w:tcBorders>
              <w:left w:val="single" w:sz="5" w:space="0" w:color="000000"/>
              <w:right w:val="single" w:sz="5" w:space="0" w:color="000000"/>
            </w:tcBorders>
          </w:tcPr>
          <w:p w14:paraId="44F2D184"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8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13d</w:t>
            </w:r>
          </w:p>
        </w:tc>
        <w:tc>
          <w:tcPr>
            <w:tcW w:w="6313" w:type="dxa"/>
            <w:tcBorders>
              <w:top w:val="single" w:sz="5" w:space="0" w:color="000000"/>
              <w:left w:val="single" w:sz="5" w:space="0" w:color="000000"/>
              <w:bottom w:val="single" w:sz="5" w:space="0" w:color="000000"/>
              <w:right w:val="single" w:sz="5" w:space="0" w:color="000000"/>
            </w:tcBorders>
          </w:tcPr>
          <w:p w14:paraId="44F2D18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4F2D187" w14:textId="1E60BE29"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7</w:t>
            </w:r>
          </w:p>
        </w:tc>
      </w:tr>
      <w:tr w:rsidR="006E5A74" w:rsidRPr="00B81D1B" w14:paraId="44F2D18D" w14:textId="77777777" w:rsidTr="008B5BFD">
        <w:trPr>
          <w:trHeight w:val="48"/>
        </w:trPr>
        <w:tc>
          <w:tcPr>
            <w:tcW w:w="1668" w:type="dxa"/>
            <w:vMerge/>
            <w:tcBorders>
              <w:left w:val="single" w:sz="5" w:space="0" w:color="000000"/>
              <w:right w:val="single" w:sz="5" w:space="0" w:color="000000"/>
            </w:tcBorders>
          </w:tcPr>
          <w:p w14:paraId="44F2D189"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8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13e</w:t>
            </w:r>
          </w:p>
        </w:tc>
        <w:tc>
          <w:tcPr>
            <w:tcW w:w="6313" w:type="dxa"/>
            <w:tcBorders>
              <w:top w:val="single" w:sz="5" w:space="0" w:color="000000"/>
              <w:left w:val="single" w:sz="5" w:space="0" w:color="000000"/>
              <w:bottom w:val="single" w:sz="5" w:space="0" w:color="000000"/>
              <w:right w:val="single" w:sz="5" w:space="0" w:color="000000"/>
            </w:tcBorders>
          </w:tcPr>
          <w:p w14:paraId="44F2D18B" w14:textId="4551D772"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used to explore possible causes of heterogeneity among study results (</w:t>
            </w:r>
            <w:r w:rsidR="00026B50" w:rsidRPr="00B81D1B">
              <w:rPr>
                <w:rFonts w:ascii="Times New Roman" w:hAnsi="Times New Roman" w:cs="Times New Roman"/>
              </w:rPr>
              <w:t>e.g.,</w:t>
            </w:r>
            <w:r w:rsidRPr="00B81D1B">
              <w:rPr>
                <w:rFonts w:ascii="Times New Roman" w:hAnsi="Times New Roman" w:cs="Times New Roman"/>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44F2D18C"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92" w14:textId="77777777" w:rsidTr="008B5BFD">
        <w:trPr>
          <w:trHeight w:val="50"/>
        </w:trPr>
        <w:tc>
          <w:tcPr>
            <w:tcW w:w="1668" w:type="dxa"/>
            <w:vMerge/>
            <w:tcBorders>
              <w:left w:val="single" w:sz="5" w:space="0" w:color="000000"/>
              <w:bottom w:val="single" w:sz="5" w:space="0" w:color="000000"/>
              <w:right w:val="single" w:sz="5" w:space="0" w:color="000000"/>
            </w:tcBorders>
          </w:tcPr>
          <w:p w14:paraId="44F2D18E"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8F"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13f</w:t>
            </w:r>
          </w:p>
        </w:tc>
        <w:tc>
          <w:tcPr>
            <w:tcW w:w="6313" w:type="dxa"/>
            <w:tcBorders>
              <w:top w:val="single" w:sz="5" w:space="0" w:color="000000"/>
              <w:left w:val="single" w:sz="5" w:space="0" w:color="000000"/>
              <w:bottom w:val="single" w:sz="5" w:space="0" w:color="000000"/>
              <w:right w:val="single" w:sz="5" w:space="0" w:color="000000"/>
            </w:tcBorders>
          </w:tcPr>
          <w:p w14:paraId="44F2D19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4F2D191"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97"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9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4F2D19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14</w:t>
            </w:r>
          </w:p>
        </w:tc>
        <w:tc>
          <w:tcPr>
            <w:tcW w:w="6313" w:type="dxa"/>
            <w:tcBorders>
              <w:top w:val="single" w:sz="5" w:space="0" w:color="000000"/>
              <w:left w:val="single" w:sz="5" w:space="0" w:color="000000"/>
              <w:bottom w:val="single" w:sz="5" w:space="0" w:color="000000"/>
              <w:right w:val="single" w:sz="5" w:space="0" w:color="000000"/>
            </w:tcBorders>
          </w:tcPr>
          <w:p w14:paraId="44F2D19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44F2D196"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9C"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98"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44F2D199"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15</w:t>
            </w:r>
          </w:p>
        </w:tc>
        <w:tc>
          <w:tcPr>
            <w:tcW w:w="6313" w:type="dxa"/>
            <w:tcBorders>
              <w:top w:val="single" w:sz="5" w:space="0" w:color="000000"/>
              <w:left w:val="single" w:sz="5" w:space="0" w:color="000000"/>
              <w:bottom w:val="single" w:sz="5" w:space="0" w:color="000000"/>
              <w:right w:val="single" w:sz="5" w:space="0" w:color="000000"/>
            </w:tcBorders>
          </w:tcPr>
          <w:p w14:paraId="44F2D19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44F2D19B" w14:textId="3748D481"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8</w:t>
            </w:r>
          </w:p>
        </w:tc>
      </w:tr>
      <w:tr w:rsidR="006E5A74" w:rsidRPr="00B81D1B" w14:paraId="44F2D19F"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9D"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9E" w14:textId="77777777" w:rsidR="006E5A74" w:rsidRPr="00B81D1B" w:rsidRDefault="006E5A74" w:rsidP="00B81D1B">
            <w:pPr>
              <w:pStyle w:val="Default"/>
              <w:rPr>
                <w:rFonts w:ascii="Times New Roman" w:hAnsi="Times New Roman" w:cs="Times New Roman"/>
                <w:color w:val="auto"/>
              </w:rPr>
            </w:pPr>
          </w:p>
        </w:tc>
      </w:tr>
      <w:tr w:rsidR="006E5A74" w:rsidRPr="00B81D1B" w14:paraId="44F2D1A4"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A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44F2D1A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16a</w:t>
            </w:r>
          </w:p>
        </w:tc>
        <w:tc>
          <w:tcPr>
            <w:tcW w:w="6313" w:type="dxa"/>
            <w:tcBorders>
              <w:top w:val="single" w:sz="5" w:space="0" w:color="000000"/>
              <w:left w:val="single" w:sz="5" w:space="0" w:color="000000"/>
              <w:bottom w:val="single" w:sz="5" w:space="0" w:color="000000"/>
              <w:right w:val="single" w:sz="5" w:space="0" w:color="000000"/>
            </w:tcBorders>
          </w:tcPr>
          <w:p w14:paraId="44F2D1A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44F2D1A3" w14:textId="16F162F6"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8</w:t>
            </w:r>
          </w:p>
        </w:tc>
      </w:tr>
      <w:tr w:rsidR="006E5A74" w:rsidRPr="00B81D1B" w14:paraId="44F2D1A9" w14:textId="77777777" w:rsidTr="008B5BFD">
        <w:trPr>
          <w:trHeight w:val="48"/>
        </w:trPr>
        <w:tc>
          <w:tcPr>
            <w:tcW w:w="1668" w:type="dxa"/>
            <w:vMerge/>
            <w:tcBorders>
              <w:left w:val="single" w:sz="5" w:space="0" w:color="000000"/>
              <w:bottom w:val="single" w:sz="5" w:space="0" w:color="000000"/>
              <w:right w:val="single" w:sz="5" w:space="0" w:color="000000"/>
            </w:tcBorders>
          </w:tcPr>
          <w:p w14:paraId="44F2D1A5"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A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16b</w:t>
            </w:r>
          </w:p>
        </w:tc>
        <w:tc>
          <w:tcPr>
            <w:tcW w:w="6313" w:type="dxa"/>
            <w:tcBorders>
              <w:top w:val="single" w:sz="5" w:space="0" w:color="000000"/>
              <w:left w:val="single" w:sz="5" w:space="0" w:color="000000"/>
              <w:bottom w:val="single" w:sz="5" w:space="0" w:color="000000"/>
              <w:right w:val="single" w:sz="5" w:space="0" w:color="000000"/>
            </w:tcBorders>
          </w:tcPr>
          <w:p w14:paraId="44F2D1A7"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Cite studies that might appear to meet the inclusion criteria, </w:t>
            </w:r>
            <w:r w:rsidRPr="00B81D1B">
              <w:rPr>
                <w:rFonts w:ascii="Times New Roman" w:hAnsi="Times New Roman" w:cs="Times New Roman"/>
              </w:rPr>
              <w:lastRenderedPageBreak/>
              <w:t>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4F2D1A8" w14:textId="2E23C329"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lastRenderedPageBreak/>
              <w:t>8</w:t>
            </w:r>
          </w:p>
        </w:tc>
      </w:tr>
      <w:tr w:rsidR="006E5A74" w:rsidRPr="00B81D1B" w14:paraId="44F2D1AE" w14:textId="77777777" w:rsidTr="008B5BFD">
        <w:trPr>
          <w:trHeight w:val="103"/>
        </w:trPr>
        <w:tc>
          <w:tcPr>
            <w:tcW w:w="1668" w:type="dxa"/>
            <w:tcBorders>
              <w:top w:val="single" w:sz="5" w:space="0" w:color="000000"/>
              <w:left w:val="single" w:sz="5" w:space="0" w:color="000000"/>
              <w:bottom w:val="single" w:sz="5" w:space="0" w:color="000000"/>
              <w:right w:val="single" w:sz="5" w:space="0" w:color="000000"/>
            </w:tcBorders>
          </w:tcPr>
          <w:p w14:paraId="44F2D1A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4F2D1A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17</w:t>
            </w:r>
          </w:p>
        </w:tc>
        <w:tc>
          <w:tcPr>
            <w:tcW w:w="6313" w:type="dxa"/>
            <w:tcBorders>
              <w:top w:val="single" w:sz="5" w:space="0" w:color="000000"/>
              <w:left w:val="single" w:sz="5" w:space="0" w:color="000000"/>
              <w:bottom w:val="single" w:sz="5" w:space="0" w:color="000000"/>
              <w:right w:val="single" w:sz="5" w:space="0" w:color="000000"/>
            </w:tcBorders>
          </w:tcPr>
          <w:p w14:paraId="44F2D1A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44F2D1AD" w14:textId="5EB4D727"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8</w:t>
            </w:r>
          </w:p>
        </w:tc>
      </w:tr>
      <w:tr w:rsidR="006E5A74" w:rsidRPr="00B81D1B" w14:paraId="44F2D1B3"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AF"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4F2D1B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18</w:t>
            </w:r>
          </w:p>
        </w:tc>
        <w:tc>
          <w:tcPr>
            <w:tcW w:w="6313" w:type="dxa"/>
            <w:tcBorders>
              <w:top w:val="single" w:sz="5" w:space="0" w:color="000000"/>
              <w:left w:val="single" w:sz="5" w:space="0" w:color="000000"/>
              <w:bottom w:val="single" w:sz="5" w:space="0" w:color="000000"/>
              <w:right w:val="single" w:sz="5" w:space="0" w:color="000000"/>
            </w:tcBorders>
          </w:tcPr>
          <w:p w14:paraId="44F2D1B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44F2D1B2" w14:textId="463B43C8" w:rsidR="006E5A74" w:rsidRPr="00B81D1B" w:rsidRDefault="0036130D" w:rsidP="00B81D1B">
            <w:pPr>
              <w:pStyle w:val="Default"/>
              <w:spacing w:before="40" w:after="40"/>
              <w:rPr>
                <w:rFonts w:ascii="Times New Roman" w:hAnsi="Times New Roman" w:cs="Times New Roman"/>
                <w:color w:val="auto"/>
              </w:rPr>
            </w:pPr>
            <w:r>
              <w:rPr>
                <w:rFonts w:ascii="Times New Roman" w:hAnsi="Times New Roman" w:cs="Times New Roman"/>
                <w:color w:val="auto"/>
              </w:rPr>
              <w:t>9</w:t>
            </w:r>
          </w:p>
        </w:tc>
      </w:tr>
      <w:tr w:rsidR="006E5A74" w:rsidRPr="00B81D1B" w14:paraId="44F2D1B8"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B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44F2D1B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19</w:t>
            </w:r>
          </w:p>
        </w:tc>
        <w:tc>
          <w:tcPr>
            <w:tcW w:w="6313" w:type="dxa"/>
            <w:tcBorders>
              <w:top w:val="single" w:sz="5" w:space="0" w:color="000000"/>
              <w:left w:val="single" w:sz="5" w:space="0" w:color="000000"/>
              <w:bottom w:val="single" w:sz="5" w:space="0" w:color="000000"/>
              <w:right w:val="single" w:sz="5" w:space="0" w:color="000000"/>
            </w:tcBorders>
          </w:tcPr>
          <w:p w14:paraId="44F2D1B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4F2D1B7" w14:textId="61A61F2E"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9</w:t>
            </w:r>
          </w:p>
        </w:tc>
      </w:tr>
      <w:tr w:rsidR="006E5A74" w:rsidRPr="00B81D1B" w14:paraId="44F2D1BD"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B9"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4F2D1B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20a</w:t>
            </w:r>
          </w:p>
        </w:tc>
        <w:tc>
          <w:tcPr>
            <w:tcW w:w="6313" w:type="dxa"/>
            <w:tcBorders>
              <w:top w:val="single" w:sz="5" w:space="0" w:color="000000"/>
              <w:left w:val="single" w:sz="5" w:space="0" w:color="000000"/>
              <w:bottom w:val="single" w:sz="5" w:space="0" w:color="000000"/>
              <w:right w:val="single" w:sz="5" w:space="0" w:color="000000"/>
            </w:tcBorders>
          </w:tcPr>
          <w:p w14:paraId="44F2D1B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44F2D1BC" w14:textId="67A9F376"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8,9</w:t>
            </w:r>
          </w:p>
        </w:tc>
      </w:tr>
      <w:tr w:rsidR="006E5A74" w:rsidRPr="00B81D1B" w14:paraId="44F2D1C2" w14:textId="77777777" w:rsidTr="008B5BFD">
        <w:trPr>
          <w:trHeight w:val="203"/>
        </w:trPr>
        <w:tc>
          <w:tcPr>
            <w:tcW w:w="1668" w:type="dxa"/>
            <w:vMerge/>
            <w:tcBorders>
              <w:left w:val="single" w:sz="5" w:space="0" w:color="000000"/>
              <w:right w:val="single" w:sz="5" w:space="0" w:color="000000"/>
            </w:tcBorders>
          </w:tcPr>
          <w:p w14:paraId="44F2D1BE"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BF"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20b</w:t>
            </w:r>
          </w:p>
        </w:tc>
        <w:tc>
          <w:tcPr>
            <w:tcW w:w="6313" w:type="dxa"/>
            <w:tcBorders>
              <w:top w:val="single" w:sz="5" w:space="0" w:color="000000"/>
              <w:left w:val="single" w:sz="5" w:space="0" w:color="000000"/>
              <w:bottom w:val="single" w:sz="5" w:space="0" w:color="000000"/>
              <w:right w:val="single" w:sz="5" w:space="0" w:color="000000"/>
            </w:tcBorders>
          </w:tcPr>
          <w:p w14:paraId="44F2D1C0" w14:textId="273281B4"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results of all statistical syntheses conducted. If meta-analysis was done, present for each the summary estimate and its precision (</w:t>
            </w:r>
            <w:r w:rsidR="00E96B27" w:rsidRPr="00B81D1B">
              <w:rPr>
                <w:rFonts w:ascii="Times New Roman" w:hAnsi="Times New Roman" w:cs="Times New Roman"/>
              </w:rPr>
              <w:t>e.g.,</w:t>
            </w:r>
            <w:r w:rsidRPr="00B81D1B">
              <w:rPr>
                <w:rFonts w:ascii="Times New Roman" w:hAnsi="Times New Roman" w:cs="Times New Roman"/>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4F2D1C1" w14:textId="00D771CC"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9</w:t>
            </w:r>
          </w:p>
        </w:tc>
      </w:tr>
      <w:tr w:rsidR="006E5A74" w:rsidRPr="00B81D1B" w14:paraId="44F2D1C7" w14:textId="77777777" w:rsidTr="008B5BFD">
        <w:trPr>
          <w:trHeight w:val="48"/>
        </w:trPr>
        <w:tc>
          <w:tcPr>
            <w:tcW w:w="1668" w:type="dxa"/>
            <w:vMerge/>
            <w:tcBorders>
              <w:left w:val="single" w:sz="5" w:space="0" w:color="000000"/>
              <w:right w:val="single" w:sz="5" w:space="0" w:color="000000"/>
            </w:tcBorders>
          </w:tcPr>
          <w:p w14:paraId="44F2D1C3"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C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20c</w:t>
            </w:r>
          </w:p>
        </w:tc>
        <w:tc>
          <w:tcPr>
            <w:tcW w:w="6313" w:type="dxa"/>
            <w:tcBorders>
              <w:top w:val="single" w:sz="5" w:space="0" w:color="000000"/>
              <w:left w:val="single" w:sz="5" w:space="0" w:color="000000"/>
              <w:bottom w:val="single" w:sz="5" w:space="0" w:color="000000"/>
              <w:right w:val="single" w:sz="5" w:space="0" w:color="000000"/>
            </w:tcBorders>
          </w:tcPr>
          <w:p w14:paraId="44F2D1C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44F2D1C6"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CC" w14:textId="77777777" w:rsidTr="008B5BFD">
        <w:trPr>
          <w:trHeight w:val="48"/>
        </w:trPr>
        <w:tc>
          <w:tcPr>
            <w:tcW w:w="1668" w:type="dxa"/>
            <w:vMerge/>
            <w:tcBorders>
              <w:left w:val="single" w:sz="5" w:space="0" w:color="000000"/>
              <w:bottom w:val="single" w:sz="5" w:space="0" w:color="000000"/>
              <w:right w:val="single" w:sz="5" w:space="0" w:color="000000"/>
            </w:tcBorders>
          </w:tcPr>
          <w:p w14:paraId="44F2D1C8"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C9"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20d</w:t>
            </w:r>
          </w:p>
        </w:tc>
        <w:tc>
          <w:tcPr>
            <w:tcW w:w="6313" w:type="dxa"/>
            <w:tcBorders>
              <w:top w:val="single" w:sz="5" w:space="0" w:color="000000"/>
              <w:left w:val="single" w:sz="5" w:space="0" w:color="000000"/>
              <w:bottom w:val="single" w:sz="5" w:space="0" w:color="000000"/>
              <w:right w:val="single" w:sz="5" w:space="0" w:color="000000"/>
            </w:tcBorders>
          </w:tcPr>
          <w:p w14:paraId="44F2D1C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4F2D1CB"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D1"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C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4F2D1CE"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21</w:t>
            </w:r>
          </w:p>
        </w:tc>
        <w:tc>
          <w:tcPr>
            <w:tcW w:w="6313" w:type="dxa"/>
            <w:tcBorders>
              <w:top w:val="single" w:sz="5" w:space="0" w:color="000000"/>
              <w:left w:val="single" w:sz="5" w:space="0" w:color="000000"/>
              <w:bottom w:val="single" w:sz="5" w:space="0" w:color="000000"/>
              <w:right w:val="single" w:sz="5" w:space="0" w:color="000000"/>
            </w:tcBorders>
          </w:tcPr>
          <w:p w14:paraId="44F2D1CF"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44F2D1D0"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1D6"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1D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4F2D1D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22</w:t>
            </w:r>
          </w:p>
        </w:tc>
        <w:tc>
          <w:tcPr>
            <w:tcW w:w="6313" w:type="dxa"/>
            <w:tcBorders>
              <w:top w:val="single" w:sz="5" w:space="0" w:color="000000"/>
              <w:left w:val="single" w:sz="5" w:space="0" w:color="000000"/>
              <w:bottom w:val="single" w:sz="5" w:space="0" w:color="000000"/>
              <w:right w:val="single" w:sz="5" w:space="0" w:color="000000"/>
            </w:tcBorders>
          </w:tcPr>
          <w:p w14:paraId="44F2D1D4"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44F2D1D5" w14:textId="3BF7F9B3"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9</w:t>
            </w:r>
          </w:p>
        </w:tc>
      </w:tr>
      <w:tr w:rsidR="006E5A74" w:rsidRPr="00B81D1B" w14:paraId="44F2D1D9"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D7"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D8" w14:textId="77777777" w:rsidR="006E5A74" w:rsidRPr="00B81D1B" w:rsidRDefault="006E5A74" w:rsidP="00B81D1B">
            <w:pPr>
              <w:pStyle w:val="Default"/>
              <w:rPr>
                <w:rFonts w:ascii="Times New Roman" w:hAnsi="Times New Roman" w:cs="Times New Roman"/>
                <w:color w:val="auto"/>
              </w:rPr>
            </w:pPr>
          </w:p>
        </w:tc>
      </w:tr>
      <w:tr w:rsidR="006E5A74" w:rsidRPr="00B81D1B" w14:paraId="44F2D1DE"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D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4F2D1D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23a</w:t>
            </w:r>
          </w:p>
        </w:tc>
        <w:tc>
          <w:tcPr>
            <w:tcW w:w="6313" w:type="dxa"/>
            <w:tcBorders>
              <w:top w:val="single" w:sz="5" w:space="0" w:color="000000"/>
              <w:left w:val="single" w:sz="5" w:space="0" w:color="000000"/>
              <w:bottom w:val="single" w:sz="5" w:space="0" w:color="000000"/>
              <w:right w:val="single" w:sz="5" w:space="0" w:color="000000"/>
            </w:tcBorders>
          </w:tcPr>
          <w:p w14:paraId="44F2D1D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44F2D1DD" w14:textId="36988EC4"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 xml:space="preserve">10, </w:t>
            </w:r>
            <w:r w:rsidR="0044239E">
              <w:rPr>
                <w:rFonts w:ascii="Times New Roman" w:hAnsi="Times New Roman" w:cs="Times New Roman"/>
                <w:color w:val="auto"/>
              </w:rPr>
              <w:t>11,12</w:t>
            </w:r>
          </w:p>
        </w:tc>
      </w:tr>
      <w:tr w:rsidR="006E5A74" w:rsidRPr="00B81D1B" w14:paraId="44F2D1E3" w14:textId="77777777" w:rsidTr="008B5BFD">
        <w:trPr>
          <w:trHeight w:val="48"/>
        </w:trPr>
        <w:tc>
          <w:tcPr>
            <w:tcW w:w="1668" w:type="dxa"/>
            <w:vMerge/>
            <w:tcBorders>
              <w:left w:val="single" w:sz="5" w:space="0" w:color="000000"/>
              <w:right w:val="single" w:sz="5" w:space="0" w:color="000000"/>
            </w:tcBorders>
          </w:tcPr>
          <w:p w14:paraId="44F2D1DF"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E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23b</w:t>
            </w:r>
          </w:p>
        </w:tc>
        <w:tc>
          <w:tcPr>
            <w:tcW w:w="6313" w:type="dxa"/>
            <w:tcBorders>
              <w:top w:val="single" w:sz="5" w:space="0" w:color="000000"/>
              <w:left w:val="single" w:sz="5" w:space="0" w:color="000000"/>
              <w:bottom w:val="single" w:sz="5" w:space="0" w:color="000000"/>
              <w:right w:val="single" w:sz="5" w:space="0" w:color="000000"/>
            </w:tcBorders>
          </w:tcPr>
          <w:p w14:paraId="44F2D1E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44F2D1E2" w14:textId="2587FFEC"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12</w:t>
            </w:r>
          </w:p>
        </w:tc>
      </w:tr>
      <w:tr w:rsidR="006E5A74" w:rsidRPr="00B81D1B" w14:paraId="44F2D1E8" w14:textId="77777777" w:rsidTr="008B5BFD">
        <w:trPr>
          <w:trHeight w:val="48"/>
        </w:trPr>
        <w:tc>
          <w:tcPr>
            <w:tcW w:w="1668" w:type="dxa"/>
            <w:vMerge/>
            <w:tcBorders>
              <w:left w:val="single" w:sz="5" w:space="0" w:color="000000"/>
              <w:right w:val="single" w:sz="5" w:space="0" w:color="000000"/>
            </w:tcBorders>
          </w:tcPr>
          <w:p w14:paraId="44F2D1E4"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4" w:space="0" w:color="auto"/>
              <w:right w:val="single" w:sz="5" w:space="0" w:color="000000"/>
            </w:tcBorders>
          </w:tcPr>
          <w:p w14:paraId="44F2D1E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23c</w:t>
            </w:r>
          </w:p>
        </w:tc>
        <w:tc>
          <w:tcPr>
            <w:tcW w:w="6313" w:type="dxa"/>
            <w:tcBorders>
              <w:top w:val="single" w:sz="5" w:space="0" w:color="000000"/>
              <w:left w:val="single" w:sz="5" w:space="0" w:color="000000"/>
              <w:bottom w:val="single" w:sz="5" w:space="0" w:color="000000"/>
              <w:right w:val="single" w:sz="5" w:space="0" w:color="000000"/>
            </w:tcBorders>
          </w:tcPr>
          <w:p w14:paraId="44F2D1E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44F2D1E7" w14:textId="425AED00" w:rsidR="006E5A74" w:rsidRPr="00B81D1B" w:rsidRDefault="0001727F" w:rsidP="00B81D1B">
            <w:pPr>
              <w:pStyle w:val="Default"/>
              <w:spacing w:before="40" w:after="40"/>
              <w:rPr>
                <w:rFonts w:ascii="Times New Roman" w:hAnsi="Times New Roman" w:cs="Times New Roman"/>
                <w:color w:val="auto"/>
              </w:rPr>
            </w:pPr>
            <w:r>
              <w:rPr>
                <w:rFonts w:ascii="Times New Roman" w:hAnsi="Times New Roman" w:cs="Times New Roman"/>
                <w:color w:val="auto"/>
              </w:rPr>
              <w:t>Not applicable</w:t>
            </w:r>
          </w:p>
        </w:tc>
      </w:tr>
      <w:tr w:rsidR="006E5A74" w:rsidRPr="00B81D1B" w14:paraId="44F2D1ED" w14:textId="77777777" w:rsidTr="008B5BFD">
        <w:trPr>
          <w:trHeight w:val="48"/>
        </w:trPr>
        <w:tc>
          <w:tcPr>
            <w:tcW w:w="1668" w:type="dxa"/>
            <w:vMerge/>
            <w:tcBorders>
              <w:left w:val="single" w:sz="5" w:space="0" w:color="000000"/>
              <w:bottom w:val="single" w:sz="4" w:space="0" w:color="auto"/>
              <w:right w:val="single" w:sz="5" w:space="0" w:color="000000"/>
            </w:tcBorders>
          </w:tcPr>
          <w:p w14:paraId="44F2D1E9"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4" w:space="0" w:color="auto"/>
              <w:left w:val="single" w:sz="5" w:space="0" w:color="000000"/>
              <w:bottom w:val="single" w:sz="4" w:space="0" w:color="auto"/>
              <w:right w:val="single" w:sz="4" w:space="0" w:color="auto"/>
            </w:tcBorders>
          </w:tcPr>
          <w:p w14:paraId="44F2D1E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23d</w:t>
            </w:r>
          </w:p>
        </w:tc>
        <w:tc>
          <w:tcPr>
            <w:tcW w:w="6313" w:type="dxa"/>
            <w:tcBorders>
              <w:top w:val="single" w:sz="5" w:space="0" w:color="000000"/>
              <w:left w:val="single" w:sz="4" w:space="0" w:color="auto"/>
              <w:bottom w:val="double" w:sz="5" w:space="0" w:color="000000"/>
              <w:right w:val="single" w:sz="5" w:space="0" w:color="000000"/>
            </w:tcBorders>
          </w:tcPr>
          <w:p w14:paraId="44F2D1EB" w14:textId="3542E7E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Discuss </w:t>
            </w:r>
            <w:r w:rsidR="0001727F">
              <w:rPr>
                <w:rFonts w:ascii="Times New Roman" w:hAnsi="Times New Roman" w:cs="Times New Roman"/>
              </w:rPr>
              <w:t xml:space="preserve">the </w:t>
            </w:r>
            <w:r w:rsidRPr="00B81D1B">
              <w:rPr>
                <w:rFonts w:ascii="Times New Roman" w:hAnsi="Times New Roman" w:cs="Times New Roman"/>
              </w:rPr>
              <w:t>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44F2D1EC" w14:textId="319AC4F8"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12</w:t>
            </w:r>
          </w:p>
        </w:tc>
      </w:tr>
      <w:tr w:rsidR="006E5A74" w:rsidRPr="00B81D1B" w14:paraId="44F2D1F0" w14:textId="77777777" w:rsidTr="008B5BFD">
        <w:trPr>
          <w:trHeight w:val="24"/>
        </w:trPr>
        <w:tc>
          <w:tcPr>
            <w:tcW w:w="85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1EE" w14:textId="77777777" w:rsidR="006E5A74" w:rsidRPr="00B81D1B" w:rsidRDefault="006E5A74" w:rsidP="00B81D1B">
            <w:pPr>
              <w:pStyle w:val="Default"/>
              <w:rPr>
                <w:rFonts w:ascii="Times New Roman" w:hAnsi="Times New Roman" w:cs="Times New Roman"/>
              </w:rPr>
            </w:pPr>
            <w:r w:rsidRPr="00B81D1B">
              <w:rPr>
                <w:rFonts w:ascii="Times New Roman" w:hAnsi="Times New Roman" w:cs="Times New Roman"/>
                <w:b/>
                <w:bCs/>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1EF" w14:textId="77777777" w:rsidR="006E5A74" w:rsidRPr="00B81D1B" w:rsidRDefault="006E5A74" w:rsidP="00B81D1B">
            <w:pPr>
              <w:pStyle w:val="Default"/>
              <w:rPr>
                <w:rFonts w:ascii="Times New Roman" w:hAnsi="Times New Roman" w:cs="Times New Roman"/>
                <w:color w:val="auto"/>
              </w:rPr>
            </w:pPr>
          </w:p>
        </w:tc>
      </w:tr>
      <w:tr w:rsidR="006E5A74" w:rsidRPr="00B81D1B" w14:paraId="44F2D1F5" w14:textId="77777777" w:rsidTr="008B5BFD">
        <w:trPr>
          <w:trHeight w:val="48"/>
        </w:trPr>
        <w:tc>
          <w:tcPr>
            <w:tcW w:w="1668" w:type="dxa"/>
            <w:vMerge w:val="restart"/>
            <w:tcBorders>
              <w:top w:val="single" w:sz="5" w:space="0" w:color="000000"/>
              <w:left w:val="single" w:sz="5" w:space="0" w:color="000000"/>
              <w:right w:val="single" w:sz="5" w:space="0" w:color="000000"/>
            </w:tcBorders>
          </w:tcPr>
          <w:p w14:paraId="44F2D1F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Registration </w:t>
            </w:r>
            <w:r w:rsidRPr="00B81D1B">
              <w:rPr>
                <w:rFonts w:ascii="Times New Roman" w:hAnsi="Times New Roman" w:cs="Times New Roman"/>
              </w:rPr>
              <w:lastRenderedPageBreak/>
              <w:t>and protocol</w:t>
            </w:r>
          </w:p>
        </w:tc>
        <w:tc>
          <w:tcPr>
            <w:tcW w:w="587" w:type="dxa"/>
            <w:tcBorders>
              <w:top w:val="single" w:sz="5" w:space="0" w:color="000000"/>
              <w:left w:val="single" w:sz="5" w:space="0" w:color="000000"/>
              <w:bottom w:val="single" w:sz="5" w:space="0" w:color="000000"/>
              <w:right w:val="single" w:sz="5" w:space="0" w:color="000000"/>
            </w:tcBorders>
          </w:tcPr>
          <w:p w14:paraId="44F2D1F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lastRenderedPageBreak/>
              <w:t>24a</w:t>
            </w:r>
          </w:p>
        </w:tc>
        <w:tc>
          <w:tcPr>
            <w:tcW w:w="6313" w:type="dxa"/>
            <w:tcBorders>
              <w:top w:val="single" w:sz="5" w:space="0" w:color="000000"/>
              <w:left w:val="single" w:sz="5" w:space="0" w:color="000000"/>
              <w:bottom w:val="single" w:sz="5" w:space="0" w:color="000000"/>
              <w:right w:val="single" w:sz="5" w:space="0" w:color="000000"/>
            </w:tcBorders>
          </w:tcPr>
          <w:p w14:paraId="44F2D1F3"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 xml:space="preserve">Provide registration information for the review, including register name and registration number, or state that the review </w:t>
            </w:r>
            <w:r w:rsidRPr="00B81D1B">
              <w:rPr>
                <w:rFonts w:ascii="Times New Roman" w:hAnsi="Times New Roman" w:cs="Times New Roman"/>
              </w:rPr>
              <w:lastRenderedPageBreak/>
              <w:t>was not registered.</w:t>
            </w:r>
          </w:p>
        </w:tc>
        <w:tc>
          <w:tcPr>
            <w:tcW w:w="1200" w:type="dxa"/>
            <w:tcBorders>
              <w:top w:val="single" w:sz="5" w:space="0" w:color="000000"/>
              <w:left w:val="single" w:sz="5" w:space="0" w:color="000000"/>
              <w:bottom w:val="single" w:sz="5" w:space="0" w:color="000000"/>
              <w:right w:val="single" w:sz="5" w:space="0" w:color="000000"/>
            </w:tcBorders>
          </w:tcPr>
          <w:p w14:paraId="44F2D1F4" w14:textId="59BAE0DB"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lastRenderedPageBreak/>
              <w:t>5</w:t>
            </w:r>
          </w:p>
        </w:tc>
      </w:tr>
      <w:tr w:rsidR="006E5A74" w:rsidRPr="00B81D1B" w14:paraId="44F2D1FA" w14:textId="77777777" w:rsidTr="008B5BFD">
        <w:trPr>
          <w:trHeight w:val="57"/>
        </w:trPr>
        <w:tc>
          <w:tcPr>
            <w:tcW w:w="1668" w:type="dxa"/>
            <w:vMerge/>
            <w:tcBorders>
              <w:left w:val="single" w:sz="5" w:space="0" w:color="000000"/>
              <w:right w:val="single" w:sz="5" w:space="0" w:color="000000"/>
            </w:tcBorders>
          </w:tcPr>
          <w:p w14:paraId="44F2D1F6"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F7"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24b</w:t>
            </w:r>
          </w:p>
        </w:tc>
        <w:tc>
          <w:tcPr>
            <w:tcW w:w="6313" w:type="dxa"/>
            <w:tcBorders>
              <w:top w:val="single" w:sz="5" w:space="0" w:color="000000"/>
              <w:left w:val="single" w:sz="5" w:space="0" w:color="000000"/>
              <w:bottom w:val="single" w:sz="5" w:space="0" w:color="000000"/>
              <w:right w:val="single" w:sz="5" w:space="0" w:color="000000"/>
            </w:tcBorders>
          </w:tcPr>
          <w:p w14:paraId="44F2D1F8"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44F2D1F9" w14:textId="51ACE5FF" w:rsidR="006E5A74" w:rsidRPr="00B81D1B" w:rsidRDefault="004F35E2" w:rsidP="00B81D1B">
            <w:pPr>
              <w:pStyle w:val="Default"/>
              <w:spacing w:before="40" w:after="40"/>
              <w:rPr>
                <w:rFonts w:ascii="Times New Roman" w:hAnsi="Times New Roman" w:cs="Times New Roman"/>
                <w:color w:val="auto"/>
              </w:rPr>
            </w:pPr>
            <w:r>
              <w:rPr>
                <w:rFonts w:ascii="Times New Roman" w:hAnsi="Times New Roman" w:cs="Times New Roman"/>
                <w:color w:val="auto"/>
              </w:rPr>
              <w:t>5</w:t>
            </w:r>
          </w:p>
        </w:tc>
      </w:tr>
      <w:tr w:rsidR="006E5A74" w:rsidRPr="00B81D1B" w14:paraId="44F2D1FF" w14:textId="77777777" w:rsidTr="008B5BFD">
        <w:trPr>
          <w:trHeight w:val="48"/>
        </w:trPr>
        <w:tc>
          <w:tcPr>
            <w:tcW w:w="1668" w:type="dxa"/>
            <w:vMerge/>
            <w:tcBorders>
              <w:left w:val="single" w:sz="5" w:space="0" w:color="000000"/>
              <w:bottom w:val="single" w:sz="5" w:space="0" w:color="000000"/>
              <w:right w:val="single" w:sz="5" w:space="0" w:color="000000"/>
            </w:tcBorders>
          </w:tcPr>
          <w:p w14:paraId="44F2D1FB" w14:textId="77777777" w:rsidR="006E5A74" w:rsidRPr="00B81D1B" w:rsidRDefault="006E5A74" w:rsidP="00B81D1B">
            <w:pPr>
              <w:pStyle w:val="Default"/>
              <w:spacing w:before="40" w:after="40"/>
              <w:rPr>
                <w:rFonts w:ascii="Times New Roman" w:hAnsi="Times New Roman" w:cs="Times New Roman"/>
              </w:rPr>
            </w:pPr>
          </w:p>
        </w:tc>
        <w:tc>
          <w:tcPr>
            <w:tcW w:w="587" w:type="dxa"/>
            <w:tcBorders>
              <w:top w:val="single" w:sz="5" w:space="0" w:color="000000"/>
              <w:left w:val="single" w:sz="5" w:space="0" w:color="000000"/>
              <w:bottom w:val="single" w:sz="5" w:space="0" w:color="000000"/>
              <w:right w:val="single" w:sz="5" w:space="0" w:color="000000"/>
            </w:tcBorders>
          </w:tcPr>
          <w:p w14:paraId="44F2D1F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24c</w:t>
            </w:r>
          </w:p>
        </w:tc>
        <w:tc>
          <w:tcPr>
            <w:tcW w:w="6313" w:type="dxa"/>
            <w:tcBorders>
              <w:top w:val="single" w:sz="5" w:space="0" w:color="000000"/>
              <w:left w:val="single" w:sz="5" w:space="0" w:color="000000"/>
              <w:bottom w:val="single" w:sz="5" w:space="0" w:color="000000"/>
              <w:right w:val="single" w:sz="5" w:space="0" w:color="000000"/>
            </w:tcBorders>
          </w:tcPr>
          <w:p w14:paraId="44F2D1FD"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44F2D1FE" w14:textId="77777777" w:rsidR="006E5A74" w:rsidRPr="00B81D1B" w:rsidRDefault="004B65D3"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Not applicable</w:t>
            </w:r>
          </w:p>
        </w:tc>
      </w:tr>
      <w:tr w:rsidR="006E5A74" w:rsidRPr="00B81D1B" w14:paraId="44F2D204"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200"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Support</w:t>
            </w:r>
          </w:p>
        </w:tc>
        <w:tc>
          <w:tcPr>
            <w:tcW w:w="587" w:type="dxa"/>
            <w:tcBorders>
              <w:top w:val="single" w:sz="5" w:space="0" w:color="000000"/>
              <w:left w:val="single" w:sz="5" w:space="0" w:color="000000"/>
              <w:bottom w:val="single" w:sz="5" w:space="0" w:color="000000"/>
              <w:right w:val="single" w:sz="5" w:space="0" w:color="000000"/>
            </w:tcBorders>
          </w:tcPr>
          <w:p w14:paraId="44F2D201"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25</w:t>
            </w:r>
          </w:p>
        </w:tc>
        <w:tc>
          <w:tcPr>
            <w:tcW w:w="6313" w:type="dxa"/>
            <w:tcBorders>
              <w:top w:val="single" w:sz="5" w:space="0" w:color="000000"/>
              <w:left w:val="single" w:sz="5" w:space="0" w:color="000000"/>
              <w:bottom w:val="single" w:sz="5" w:space="0" w:color="000000"/>
              <w:right w:val="single" w:sz="5" w:space="0" w:color="000000"/>
            </w:tcBorders>
          </w:tcPr>
          <w:p w14:paraId="44F2D202"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44F2D203" w14:textId="1088D8B2" w:rsidR="006E5A74" w:rsidRPr="00B81D1B" w:rsidRDefault="0001727F" w:rsidP="00B81D1B">
            <w:pPr>
              <w:pStyle w:val="Default"/>
              <w:spacing w:before="40" w:after="40"/>
              <w:rPr>
                <w:rFonts w:ascii="Times New Roman" w:hAnsi="Times New Roman" w:cs="Times New Roman"/>
                <w:color w:val="auto"/>
              </w:rPr>
            </w:pPr>
            <w:r>
              <w:rPr>
                <w:rFonts w:ascii="Times New Roman" w:hAnsi="Times New Roman" w:cs="Times New Roman"/>
                <w:color w:val="auto"/>
              </w:rPr>
              <w:t>Nil</w:t>
            </w:r>
          </w:p>
        </w:tc>
      </w:tr>
      <w:tr w:rsidR="006E5A74" w:rsidRPr="00B81D1B" w14:paraId="44F2D209" w14:textId="77777777" w:rsidTr="008B5BFD">
        <w:trPr>
          <w:trHeight w:val="48"/>
        </w:trPr>
        <w:tc>
          <w:tcPr>
            <w:tcW w:w="1668" w:type="dxa"/>
            <w:tcBorders>
              <w:top w:val="single" w:sz="5" w:space="0" w:color="000000"/>
              <w:left w:val="single" w:sz="5" w:space="0" w:color="000000"/>
              <w:bottom w:val="single" w:sz="5" w:space="0" w:color="000000"/>
              <w:right w:val="single" w:sz="5" w:space="0" w:color="000000"/>
            </w:tcBorders>
          </w:tcPr>
          <w:p w14:paraId="44F2D205"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4F2D206"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26</w:t>
            </w:r>
          </w:p>
        </w:tc>
        <w:tc>
          <w:tcPr>
            <w:tcW w:w="6313" w:type="dxa"/>
            <w:tcBorders>
              <w:top w:val="single" w:sz="5" w:space="0" w:color="000000"/>
              <w:left w:val="single" w:sz="5" w:space="0" w:color="000000"/>
              <w:bottom w:val="single" w:sz="5" w:space="0" w:color="000000"/>
              <w:right w:val="single" w:sz="5" w:space="0" w:color="000000"/>
            </w:tcBorders>
          </w:tcPr>
          <w:p w14:paraId="44F2D207"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44F2D208" w14:textId="34AD9FCE" w:rsidR="006E5A74" w:rsidRPr="00B81D1B" w:rsidRDefault="00110AAB" w:rsidP="00B81D1B">
            <w:pPr>
              <w:pStyle w:val="Default"/>
              <w:spacing w:before="40" w:after="40"/>
              <w:rPr>
                <w:rFonts w:ascii="Times New Roman" w:hAnsi="Times New Roman" w:cs="Times New Roman"/>
                <w:color w:val="auto"/>
              </w:rPr>
            </w:pPr>
            <w:r>
              <w:rPr>
                <w:rFonts w:ascii="Times New Roman" w:hAnsi="Times New Roman" w:cs="Times New Roman"/>
                <w:color w:val="auto"/>
              </w:rPr>
              <w:t>Nil</w:t>
            </w:r>
          </w:p>
        </w:tc>
      </w:tr>
      <w:tr w:rsidR="006E5A74" w:rsidRPr="00B81D1B" w14:paraId="44F2D20E" w14:textId="77777777" w:rsidTr="00AF1295">
        <w:trPr>
          <w:trHeight w:val="219"/>
        </w:trPr>
        <w:tc>
          <w:tcPr>
            <w:tcW w:w="1668" w:type="dxa"/>
            <w:tcBorders>
              <w:top w:val="single" w:sz="5" w:space="0" w:color="000000"/>
              <w:left w:val="single" w:sz="5" w:space="0" w:color="000000"/>
              <w:bottom w:val="double" w:sz="5" w:space="0" w:color="000000"/>
              <w:right w:val="single" w:sz="5" w:space="0" w:color="000000"/>
            </w:tcBorders>
          </w:tcPr>
          <w:p w14:paraId="44F2D20A"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4F2D20B"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27</w:t>
            </w:r>
          </w:p>
        </w:tc>
        <w:tc>
          <w:tcPr>
            <w:tcW w:w="6313" w:type="dxa"/>
            <w:tcBorders>
              <w:top w:val="single" w:sz="5" w:space="0" w:color="000000"/>
              <w:left w:val="single" w:sz="5" w:space="0" w:color="000000"/>
              <w:bottom w:val="double" w:sz="5" w:space="0" w:color="000000"/>
              <w:right w:val="single" w:sz="5" w:space="0" w:color="000000"/>
            </w:tcBorders>
          </w:tcPr>
          <w:p w14:paraId="44F2D20C" w14:textId="77777777" w:rsidR="006E5A74" w:rsidRPr="00B81D1B" w:rsidRDefault="006E5A74" w:rsidP="00B81D1B">
            <w:pPr>
              <w:pStyle w:val="Default"/>
              <w:spacing w:before="40" w:after="40"/>
              <w:rPr>
                <w:rFonts w:ascii="Times New Roman" w:hAnsi="Times New Roman" w:cs="Times New Roman"/>
              </w:rPr>
            </w:pPr>
            <w:r w:rsidRPr="00B81D1B">
              <w:rPr>
                <w:rFonts w:ascii="Times New Roman" w:hAnsi="Times New Roman" w:cs="Times New Roman"/>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44F2D20D" w14:textId="0C3EE626" w:rsidR="006E5A74" w:rsidRPr="00B81D1B" w:rsidRDefault="00AF1295" w:rsidP="00AF1295">
            <w:pPr>
              <w:pStyle w:val="Default"/>
              <w:spacing w:before="40" w:after="40"/>
              <w:jc w:val="center"/>
              <w:rPr>
                <w:rFonts w:ascii="Times New Roman" w:hAnsi="Times New Roman" w:cs="Times New Roman"/>
                <w:color w:val="auto"/>
              </w:rPr>
            </w:pPr>
            <w:r w:rsidRPr="00B81D1B">
              <w:rPr>
                <w:rFonts w:ascii="Times New Roman" w:hAnsi="Times New Roman" w:cs="Times New Roman"/>
                <w:color w:val="auto"/>
              </w:rPr>
              <w:t>Not applicable</w:t>
            </w:r>
          </w:p>
        </w:tc>
      </w:tr>
    </w:tbl>
    <w:p w14:paraId="44F2D20F" w14:textId="77777777" w:rsidR="006E5A74" w:rsidRPr="00B81D1B" w:rsidRDefault="006E5A74" w:rsidP="00B81D1B">
      <w:pPr>
        <w:rPr>
          <w:rFonts w:ascii="Times New Roman" w:hAnsi="Times New Roman" w:cs="Times New Roman"/>
          <w:color w:val="0D0D0D" w:themeColor="text1" w:themeTint="F2"/>
          <w:sz w:val="24"/>
          <w:szCs w:val="24"/>
        </w:rPr>
      </w:pPr>
    </w:p>
    <w:p w14:paraId="44F2D210" w14:textId="77777777" w:rsidR="0014319A" w:rsidRPr="00B81D1B" w:rsidRDefault="0014319A" w:rsidP="00B81D1B">
      <w:pPr>
        <w:rPr>
          <w:rFonts w:ascii="Times New Roman" w:hAnsi="Times New Roman" w:cs="Times New Roman"/>
          <w:b/>
          <w:color w:val="0D0D0D" w:themeColor="text1" w:themeTint="F2"/>
          <w:sz w:val="24"/>
          <w:szCs w:val="24"/>
          <w:u w:val="single"/>
        </w:rPr>
      </w:pPr>
      <w:r w:rsidRPr="00B81D1B">
        <w:rPr>
          <w:rFonts w:ascii="Times New Roman" w:hAnsi="Times New Roman" w:cs="Times New Roman"/>
          <w:b/>
          <w:color w:val="0D0D0D" w:themeColor="text1" w:themeTint="F2"/>
          <w:sz w:val="24"/>
          <w:szCs w:val="24"/>
          <w:u w:val="single"/>
        </w:rPr>
        <w:br w:type="page"/>
      </w:r>
    </w:p>
    <w:p w14:paraId="44F2D211" w14:textId="4BD220A5" w:rsidR="0014319A" w:rsidRPr="00283B27" w:rsidRDefault="0014319A" w:rsidP="00B81D1B">
      <w:pPr>
        <w:rPr>
          <w:rFonts w:ascii="Times New Roman" w:hAnsi="Times New Roman" w:cs="Times New Roman"/>
          <w:b/>
          <w:color w:val="0D0D0D" w:themeColor="text1" w:themeTint="F2"/>
          <w:sz w:val="24"/>
          <w:szCs w:val="24"/>
        </w:rPr>
      </w:pPr>
      <w:r w:rsidRPr="00283B27">
        <w:rPr>
          <w:rFonts w:ascii="Times New Roman" w:hAnsi="Times New Roman" w:cs="Times New Roman"/>
          <w:b/>
          <w:color w:val="0D0D0D" w:themeColor="text1" w:themeTint="F2"/>
          <w:sz w:val="24"/>
          <w:szCs w:val="24"/>
          <w:u w:val="single"/>
        </w:rPr>
        <w:lastRenderedPageBreak/>
        <w:t>Table S1</w:t>
      </w:r>
      <w:r w:rsidR="00A50279">
        <w:rPr>
          <w:rFonts w:ascii="Times New Roman" w:hAnsi="Times New Roman" w:cs="Times New Roman"/>
          <w:b/>
          <w:color w:val="0D0D0D" w:themeColor="text1" w:themeTint="F2"/>
          <w:sz w:val="24"/>
          <w:szCs w:val="24"/>
          <w:u w:val="single"/>
        </w:rPr>
        <w:t>b</w:t>
      </w:r>
      <w:r w:rsidRPr="00283B27">
        <w:rPr>
          <w:rFonts w:ascii="Times New Roman" w:hAnsi="Times New Roman" w:cs="Times New Roman"/>
          <w:b/>
          <w:color w:val="0D0D0D" w:themeColor="text1" w:themeTint="F2"/>
          <w:sz w:val="24"/>
          <w:szCs w:val="24"/>
          <w:u w:val="single"/>
        </w:rPr>
        <w:t>: PRISMA 2020 Abstract Checklist</w:t>
      </w:r>
    </w:p>
    <w:tbl>
      <w:tblPr>
        <w:tblW w:w="9678" w:type="dxa"/>
        <w:tblBorders>
          <w:top w:val="nil"/>
          <w:left w:val="nil"/>
          <w:bottom w:val="nil"/>
          <w:right w:val="nil"/>
        </w:tblBorders>
        <w:tblLook w:val="0000" w:firstRow="0" w:lastRow="0" w:firstColumn="0" w:lastColumn="0" w:noHBand="0" w:noVBand="0"/>
      </w:tblPr>
      <w:tblGrid>
        <w:gridCol w:w="2518"/>
        <w:gridCol w:w="709"/>
        <w:gridCol w:w="5251"/>
        <w:gridCol w:w="1200"/>
      </w:tblGrid>
      <w:tr w:rsidR="0014319A" w:rsidRPr="00B81D1B" w14:paraId="44F2D216" w14:textId="77777777" w:rsidTr="0048562E">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F2D212" w14:textId="77777777" w:rsidR="0014319A" w:rsidRPr="00B81D1B" w:rsidRDefault="0014319A"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F2D213" w14:textId="77777777" w:rsidR="0014319A" w:rsidRPr="00B81D1B" w:rsidRDefault="0014319A" w:rsidP="00B81D1B">
            <w:pPr>
              <w:pStyle w:val="Default"/>
              <w:rPr>
                <w:rFonts w:ascii="Times New Roman" w:hAnsi="Times New Roman" w:cs="Times New Roman"/>
                <w:b/>
                <w:bCs/>
                <w:color w:val="FFFFFF"/>
              </w:rPr>
            </w:pPr>
            <w:r w:rsidRPr="00B81D1B">
              <w:rPr>
                <w:rFonts w:ascii="Times New Roman" w:hAnsi="Times New Roman" w:cs="Times New Roman"/>
                <w:b/>
                <w:bCs/>
                <w:color w:val="FFFFFF"/>
              </w:rPr>
              <w:t>Item #</w:t>
            </w:r>
          </w:p>
        </w:tc>
        <w:tc>
          <w:tcPr>
            <w:tcW w:w="525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F2D214" w14:textId="77777777" w:rsidR="0014319A" w:rsidRPr="00B81D1B" w:rsidRDefault="0014319A"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F2D215" w14:textId="77777777" w:rsidR="0014319A" w:rsidRPr="00B81D1B" w:rsidRDefault="0014319A" w:rsidP="00B81D1B">
            <w:pPr>
              <w:pStyle w:val="Default"/>
              <w:rPr>
                <w:rFonts w:ascii="Times New Roman" w:hAnsi="Times New Roman" w:cs="Times New Roman"/>
                <w:color w:val="FFFFFF"/>
              </w:rPr>
            </w:pPr>
            <w:r w:rsidRPr="00B81D1B">
              <w:rPr>
                <w:rFonts w:ascii="Times New Roman" w:hAnsi="Times New Roman" w:cs="Times New Roman"/>
                <w:b/>
                <w:bCs/>
                <w:color w:val="FFFFFF"/>
              </w:rPr>
              <w:t xml:space="preserve">Reported (Yes/No) </w:t>
            </w:r>
          </w:p>
        </w:tc>
      </w:tr>
      <w:tr w:rsidR="0014319A" w:rsidRPr="00B81D1B" w14:paraId="44F2D219"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17"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18" w14:textId="77777777" w:rsidR="0014319A" w:rsidRPr="00B81D1B" w:rsidRDefault="0014319A" w:rsidP="00B81D1B">
            <w:pPr>
              <w:pStyle w:val="Default"/>
              <w:rPr>
                <w:rFonts w:ascii="Times New Roman" w:hAnsi="Times New Roman" w:cs="Times New Roman"/>
                <w:color w:val="auto"/>
              </w:rPr>
            </w:pPr>
          </w:p>
        </w:tc>
      </w:tr>
      <w:tr w:rsidR="0014319A" w:rsidRPr="00B81D1B" w14:paraId="44F2D21E" w14:textId="77777777" w:rsidTr="0048562E">
        <w:trPr>
          <w:trHeight w:val="48"/>
        </w:trPr>
        <w:tc>
          <w:tcPr>
            <w:tcW w:w="2518" w:type="dxa"/>
            <w:tcBorders>
              <w:top w:val="single" w:sz="5" w:space="0" w:color="000000"/>
              <w:left w:val="single" w:sz="5" w:space="0" w:color="000000"/>
              <w:bottom w:val="double" w:sz="2" w:space="0" w:color="FFFFCC"/>
              <w:right w:val="single" w:sz="5" w:space="0" w:color="000000"/>
            </w:tcBorders>
          </w:tcPr>
          <w:p w14:paraId="44F2D21A"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44F2D21B"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1</w:t>
            </w:r>
          </w:p>
        </w:tc>
        <w:tc>
          <w:tcPr>
            <w:tcW w:w="5251" w:type="dxa"/>
            <w:tcBorders>
              <w:top w:val="single" w:sz="5" w:space="0" w:color="000000"/>
              <w:left w:val="single" w:sz="5" w:space="0" w:color="000000"/>
              <w:bottom w:val="double" w:sz="5" w:space="0" w:color="000000"/>
              <w:right w:val="single" w:sz="5" w:space="0" w:color="000000"/>
            </w:tcBorders>
          </w:tcPr>
          <w:p w14:paraId="44F2D21C"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4F2D21D"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21"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1F"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20" w14:textId="77777777" w:rsidR="0014319A" w:rsidRPr="00B81D1B" w:rsidRDefault="0014319A" w:rsidP="00B81D1B">
            <w:pPr>
              <w:pStyle w:val="Default"/>
              <w:rPr>
                <w:rFonts w:ascii="Times New Roman" w:hAnsi="Times New Roman" w:cs="Times New Roman"/>
                <w:color w:val="auto"/>
              </w:rPr>
            </w:pPr>
          </w:p>
        </w:tc>
      </w:tr>
      <w:tr w:rsidR="0014319A" w:rsidRPr="00B81D1B" w14:paraId="44F2D226" w14:textId="77777777" w:rsidTr="0048562E">
        <w:trPr>
          <w:trHeight w:val="48"/>
        </w:trPr>
        <w:tc>
          <w:tcPr>
            <w:tcW w:w="2518" w:type="dxa"/>
            <w:tcBorders>
              <w:top w:val="single" w:sz="5" w:space="0" w:color="000000"/>
              <w:left w:val="single" w:sz="5" w:space="0" w:color="000000"/>
              <w:bottom w:val="double" w:sz="2" w:space="0" w:color="FFFFCC"/>
              <w:right w:val="single" w:sz="5" w:space="0" w:color="000000"/>
            </w:tcBorders>
          </w:tcPr>
          <w:p w14:paraId="44F2D222"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44F2D223"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2</w:t>
            </w:r>
          </w:p>
        </w:tc>
        <w:tc>
          <w:tcPr>
            <w:tcW w:w="5251" w:type="dxa"/>
            <w:tcBorders>
              <w:top w:val="single" w:sz="5" w:space="0" w:color="000000"/>
              <w:left w:val="single" w:sz="5" w:space="0" w:color="000000"/>
              <w:bottom w:val="double" w:sz="5" w:space="0" w:color="000000"/>
              <w:right w:val="single" w:sz="5" w:space="0" w:color="000000"/>
            </w:tcBorders>
          </w:tcPr>
          <w:p w14:paraId="44F2D224"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44F2D225"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29"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27"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28" w14:textId="77777777" w:rsidR="0014319A" w:rsidRPr="00B81D1B" w:rsidRDefault="0014319A" w:rsidP="00B81D1B">
            <w:pPr>
              <w:pStyle w:val="Default"/>
              <w:rPr>
                <w:rFonts w:ascii="Times New Roman" w:hAnsi="Times New Roman" w:cs="Times New Roman"/>
                <w:color w:val="auto"/>
              </w:rPr>
            </w:pPr>
          </w:p>
        </w:tc>
      </w:tr>
      <w:tr w:rsidR="0014319A" w:rsidRPr="00B81D1B" w14:paraId="44F2D22E" w14:textId="77777777" w:rsidTr="0048562E">
        <w:trPr>
          <w:trHeight w:val="48"/>
        </w:trPr>
        <w:tc>
          <w:tcPr>
            <w:tcW w:w="2518" w:type="dxa"/>
            <w:tcBorders>
              <w:top w:val="single" w:sz="5" w:space="0" w:color="000000"/>
              <w:left w:val="single" w:sz="5" w:space="0" w:color="000000"/>
              <w:bottom w:val="single" w:sz="5" w:space="0" w:color="000000"/>
              <w:right w:val="single" w:sz="5" w:space="0" w:color="000000"/>
            </w:tcBorders>
          </w:tcPr>
          <w:p w14:paraId="44F2D22A"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44F2D22B"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3</w:t>
            </w:r>
          </w:p>
        </w:tc>
        <w:tc>
          <w:tcPr>
            <w:tcW w:w="5251" w:type="dxa"/>
            <w:tcBorders>
              <w:top w:val="single" w:sz="5" w:space="0" w:color="000000"/>
              <w:left w:val="single" w:sz="5" w:space="0" w:color="000000"/>
              <w:bottom w:val="single" w:sz="5" w:space="0" w:color="000000"/>
              <w:right w:val="single" w:sz="5" w:space="0" w:color="000000"/>
            </w:tcBorders>
          </w:tcPr>
          <w:p w14:paraId="44F2D22C"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44F2D22D"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33" w14:textId="77777777" w:rsidTr="0048562E">
        <w:trPr>
          <w:trHeight w:val="191"/>
        </w:trPr>
        <w:tc>
          <w:tcPr>
            <w:tcW w:w="2518" w:type="dxa"/>
            <w:tcBorders>
              <w:top w:val="single" w:sz="5" w:space="0" w:color="000000"/>
              <w:left w:val="single" w:sz="5" w:space="0" w:color="000000"/>
              <w:bottom w:val="single" w:sz="5" w:space="0" w:color="000000"/>
              <w:right w:val="single" w:sz="5" w:space="0" w:color="000000"/>
            </w:tcBorders>
          </w:tcPr>
          <w:p w14:paraId="44F2D22F"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44F2D230"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4</w:t>
            </w:r>
          </w:p>
        </w:tc>
        <w:tc>
          <w:tcPr>
            <w:tcW w:w="5251" w:type="dxa"/>
            <w:tcBorders>
              <w:top w:val="single" w:sz="5" w:space="0" w:color="000000"/>
              <w:left w:val="single" w:sz="5" w:space="0" w:color="000000"/>
              <w:bottom w:val="single" w:sz="5" w:space="0" w:color="000000"/>
              <w:right w:val="single" w:sz="5" w:space="0" w:color="000000"/>
            </w:tcBorders>
          </w:tcPr>
          <w:p w14:paraId="44F2D231"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44F2D232"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38" w14:textId="77777777" w:rsidTr="0048562E">
        <w:trPr>
          <w:trHeight w:val="48"/>
        </w:trPr>
        <w:tc>
          <w:tcPr>
            <w:tcW w:w="2518" w:type="dxa"/>
            <w:tcBorders>
              <w:top w:val="single" w:sz="5" w:space="0" w:color="000000"/>
              <w:left w:val="single" w:sz="5" w:space="0" w:color="000000"/>
              <w:bottom w:val="single" w:sz="5" w:space="0" w:color="000000"/>
              <w:right w:val="single" w:sz="5" w:space="0" w:color="000000"/>
            </w:tcBorders>
          </w:tcPr>
          <w:p w14:paraId="44F2D234"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Risk of bias</w:t>
            </w:r>
          </w:p>
        </w:tc>
        <w:tc>
          <w:tcPr>
            <w:tcW w:w="709" w:type="dxa"/>
            <w:tcBorders>
              <w:top w:val="single" w:sz="5" w:space="0" w:color="000000"/>
              <w:left w:val="single" w:sz="5" w:space="0" w:color="000000"/>
              <w:bottom w:val="single" w:sz="5" w:space="0" w:color="000000"/>
              <w:right w:val="single" w:sz="5" w:space="0" w:color="000000"/>
            </w:tcBorders>
          </w:tcPr>
          <w:p w14:paraId="44F2D235"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5</w:t>
            </w:r>
          </w:p>
        </w:tc>
        <w:tc>
          <w:tcPr>
            <w:tcW w:w="5251" w:type="dxa"/>
            <w:tcBorders>
              <w:top w:val="single" w:sz="5" w:space="0" w:color="000000"/>
              <w:left w:val="single" w:sz="5" w:space="0" w:color="000000"/>
              <w:bottom w:val="single" w:sz="5" w:space="0" w:color="000000"/>
              <w:right w:val="single" w:sz="5" w:space="0" w:color="000000"/>
            </w:tcBorders>
          </w:tcPr>
          <w:p w14:paraId="44F2D236"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44F2D237"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3D" w14:textId="77777777" w:rsidTr="0048562E">
        <w:trPr>
          <w:trHeight w:val="48"/>
        </w:trPr>
        <w:tc>
          <w:tcPr>
            <w:tcW w:w="2518" w:type="dxa"/>
            <w:tcBorders>
              <w:top w:val="single" w:sz="5" w:space="0" w:color="000000"/>
              <w:left w:val="single" w:sz="5" w:space="0" w:color="000000"/>
              <w:bottom w:val="single" w:sz="5" w:space="0" w:color="000000"/>
              <w:right w:val="single" w:sz="5" w:space="0" w:color="000000"/>
            </w:tcBorders>
          </w:tcPr>
          <w:p w14:paraId="44F2D239"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44F2D23A"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6</w:t>
            </w:r>
          </w:p>
        </w:tc>
        <w:tc>
          <w:tcPr>
            <w:tcW w:w="5251" w:type="dxa"/>
            <w:tcBorders>
              <w:top w:val="single" w:sz="5" w:space="0" w:color="000000"/>
              <w:left w:val="single" w:sz="5" w:space="0" w:color="000000"/>
              <w:bottom w:val="single" w:sz="5" w:space="0" w:color="000000"/>
              <w:right w:val="single" w:sz="5" w:space="0" w:color="000000"/>
            </w:tcBorders>
          </w:tcPr>
          <w:p w14:paraId="44F2D23B"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44F2D23C"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40"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3E"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3F" w14:textId="77777777" w:rsidR="0014319A" w:rsidRPr="00B81D1B" w:rsidRDefault="0014319A" w:rsidP="00B81D1B">
            <w:pPr>
              <w:pStyle w:val="Default"/>
              <w:rPr>
                <w:rFonts w:ascii="Times New Roman" w:hAnsi="Times New Roman" w:cs="Times New Roman"/>
                <w:color w:val="auto"/>
              </w:rPr>
            </w:pPr>
          </w:p>
        </w:tc>
      </w:tr>
      <w:tr w:rsidR="0014319A" w:rsidRPr="00B81D1B" w14:paraId="44F2D245" w14:textId="77777777" w:rsidTr="0048562E">
        <w:trPr>
          <w:trHeight w:val="103"/>
        </w:trPr>
        <w:tc>
          <w:tcPr>
            <w:tcW w:w="2518" w:type="dxa"/>
            <w:tcBorders>
              <w:top w:val="single" w:sz="5" w:space="0" w:color="000000"/>
              <w:left w:val="single" w:sz="5" w:space="0" w:color="000000"/>
              <w:bottom w:val="single" w:sz="5" w:space="0" w:color="000000"/>
              <w:right w:val="single" w:sz="5" w:space="0" w:color="000000"/>
            </w:tcBorders>
          </w:tcPr>
          <w:p w14:paraId="44F2D241"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44F2D242"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7</w:t>
            </w:r>
          </w:p>
        </w:tc>
        <w:tc>
          <w:tcPr>
            <w:tcW w:w="5251" w:type="dxa"/>
            <w:tcBorders>
              <w:top w:val="single" w:sz="5" w:space="0" w:color="000000"/>
              <w:left w:val="single" w:sz="5" w:space="0" w:color="000000"/>
              <w:bottom w:val="single" w:sz="5" w:space="0" w:color="000000"/>
              <w:right w:val="single" w:sz="5" w:space="0" w:color="000000"/>
            </w:tcBorders>
          </w:tcPr>
          <w:p w14:paraId="44F2D243"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44F2D244"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4A" w14:textId="77777777" w:rsidTr="0048562E">
        <w:trPr>
          <w:trHeight w:val="48"/>
        </w:trPr>
        <w:tc>
          <w:tcPr>
            <w:tcW w:w="2518" w:type="dxa"/>
            <w:tcBorders>
              <w:top w:val="single" w:sz="5" w:space="0" w:color="000000"/>
              <w:left w:val="single" w:sz="5" w:space="0" w:color="000000"/>
              <w:bottom w:val="single" w:sz="5" w:space="0" w:color="000000"/>
              <w:right w:val="single" w:sz="5" w:space="0" w:color="000000"/>
            </w:tcBorders>
          </w:tcPr>
          <w:p w14:paraId="44F2D246"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44F2D247"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8</w:t>
            </w:r>
          </w:p>
        </w:tc>
        <w:tc>
          <w:tcPr>
            <w:tcW w:w="5251" w:type="dxa"/>
            <w:tcBorders>
              <w:top w:val="single" w:sz="5" w:space="0" w:color="000000"/>
              <w:left w:val="single" w:sz="5" w:space="0" w:color="000000"/>
              <w:bottom w:val="single" w:sz="5" w:space="0" w:color="000000"/>
              <w:right w:val="single" w:sz="5" w:space="0" w:color="000000"/>
            </w:tcBorders>
          </w:tcPr>
          <w:p w14:paraId="44F2D248"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44F2D249"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4D"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4B"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4C" w14:textId="77777777" w:rsidR="0014319A" w:rsidRPr="00B81D1B" w:rsidRDefault="0014319A" w:rsidP="00B81D1B">
            <w:pPr>
              <w:pStyle w:val="Default"/>
              <w:rPr>
                <w:rFonts w:ascii="Times New Roman" w:hAnsi="Times New Roman" w:cs="Times New Roman"/>
                <w:color w:val="auto"/>
              </w:rPr>
            </w:pPr>
          </w:p>
        </w:tc>
      </w:tr>
      <w:tr w:rsidR="0014319A" w:rsidRPr="00B81D1B" w14:paraId="44F2D252" w14:textId="77777777" w:rsidTr="0048562E">
        <w:trPr>
          <w:trHeight w:val="48"/>
        </w:trPr>
        <w:tc>
          <w:tcPr>
            <w:tcW w:w="2518" w:type="dxa"/>
            <w:tcBorders>
              <w:top w:val="single" w:sz="4" w:space="0" w:color="auto"/>
              <w:left w:val="single" w:sz="4" w:space="0" w:color="auto"/>
              <w:bottom w:val="single" w:sz="4" w:space="0" w:color="auto"/>
              <w:right w:val="single" w:sz="4" w:space="0" w:color="auto"/>
            </w:tcBorders>
          </w:tcPr>
          <w:p w14:paraId="44F2D24E"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44F2D24F"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9</w:t>
            </w:r>
          </w:p>
        </w:tc>
        <w:tc>
          <w:tcPr>
            <w:tcW w:w="5251" w:type="dxa"/>
            <w:tcBorders>
              <w:top w:val="single" w:sz="5" w:space="0" w:color="000000"/>
              <w:left w:val="single" w:sz="5" w:space="0" w:color="000000"/>
              <w:bottom w:val="single" w:sz="5" w:space="0" w:color="000000"/>
              <w:right w:val="single" w:sz="5" w:space="0" w:color="000000"/>
            </w:tcBorders>
          </w:tcPr>
          <w:p w14:paraId="44F2D250"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44F2D251" w14:textId="766ADAF0" w:rsidR="0014319A" w:rsidRPr="00B81D1B" w:rsidRDefault="0001727F" w:rsidP="00B81D1B">
            <w:pPr>
              <w:pStyle w:val="Default"/>
              <w:spacing w:before="40" w:after="40"/>
              <w:rPr>
                <w:rFonts w:ascii="Times New Roman" w:hAnsi="Times New Roman" w:cs="Times New Roman"/>
                <w:color w:val="auto"/>
              </w:rPr>
            </w:pPr>
            <w:r>
              <w:rPr>
                <w:rFonts w:ascii="Times New Roman" w:hAnsi="Times New Roman" w:cs="Times New Roman"/>
                <w:color w:val="auto"/>
              </w:rPr>
              <w:t>Yes</w:t>
            </w:r>
          </w:p>
        </w:tc>
      </w:tr>
      <w:tr w:rsidR="0014319A" w:rsidRPr="00B81D1B" w14:paraId="44F2D257" w14:textId="77777777" w:rsidTr="0048562E">
        <w:trPr>
          <w:trHeight w:val="48"/>
        </w:trPr>
        <w:tc>
          <w:tcPr>
            <w:tcW w:w="2518" w:type="dxa"/>
            <w:tcBorders>
              <w:top w:val="single" w:sz="4" w:space="0" w:color="auto"/>
              <w:left w:val="single" w:sz="4" w:space="0" w:color="auto"/>
              <w:bottom w:val="single" w:sz="4" w:space="0" w:color="auto"/>
              <w:right w:val="single" w:sz="4" w:space="0" w:color="auto"/>
            </w:tcBorders>
          </w:tcPr>
          <w:p w14:paraId="44F2D253"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Interpretation</w:t>
            </w:r>
          </w:p>
        </w:tc>
        <w:tc>
          <w:tcPr>
            <w:tcW w:w="709" w:type="dxa"/>
            <w:tcBorders>
              <w:top w:val="single" w:sz="5" w:space="0" w:color="000000"/>
              <w:left w:val="single" w:sz="4" w:space="0" w:color="auto"/>
              <w:bottom w:val="single" w:sz="5" w:space="0" w:color="000000"/>
              <w:right w:val="single" w:sz="5" w:space="0" w:color="000000"/>
            </w:tcBorders>
          </w:tcPr>
          <w:p w14:paraId="44F2D254"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10</w:t>
            </w:r>
          </w:p>
        </w:tc>
        <w:tc>
          <w:tcPr>
            <w:tcW w:w="5251" w:type="dxa"/>
            <w:tcBorders>
              <w:top w:val="single" w:sz="5" w:space="0" w:color="000000"/>
              <w:left w:val="single" w:sz="5" w:space="0" w:color="000000"/>
              <w:bottom w:val="single" w:sz="5" w:space="0" w:color="000000"/>
              <w:right w:val="single" w:sz="5" w:space="0" w:color="000000"/>
            </w:tcBorders>
          </w:tcPr>
          <w:p w14:paraId="44F2D255"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44F2D256"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Yes</w:t>
            </w:r>
          </w:p>
        </w:tc>
      </w:tr>
      <w:tr w:rsidR="0014319A" w:rsidRPr="00B81D1B" w14:paraId="44F2D25A" w14:textId="77777777" w:rsidTr="0048562E">
        <w:trPr>
          <w:trHeight w:val="24"/>
        </w:trPr>
        <w:tc>
          <w:tcPr>
            <w:tcW w:w="84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F2D258" w14:textId="77777777" w:rsidR="0014319A" w:rsidRPr="00B81D1B" w:rsidRDefault="0014319A" w:rsidP="00B81D1B">
            <w:pPr>
              <w:pStyle w:val="Default"/>
              <w:rPr>
                <w:rFonts w:ascii="Times New Roman" w:hAnsi="Times New Roman" w:cs="Times New Roman"/>
              </w:rPr>
            </w:pPr>
            <w:r w:rsidRPr="00B81D1B">
              <w:rPr>
                <w:rFonts w:ascii="Times New Roman" w:hAnsi="Times New Roman" w:cs="Times New Roman"/>
                <w:b/>
                <w:bCs/>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4F2D259" w14:textId="77777777" w:rsidR="0014319A" w:rsidRPr="00B81D1B" w:rsidRDefault="0014319A" w:rsidP="00B81D1B">
            <w:pPr>
              <w:pStyle w:val="Default"/>
              <w:rPr>
                <w:rFonts w:ascii="Times New Roman" w:hAnsi="Times New Roman" w:cs="Times New Roman"/>
                <w:color w:val="auto"/>
              </w:rPr>
            </w:pPr>
          </w:p>
        </w:tc>
      </w:tr>
      <w:tr w:rsidR="0014319A" w:rsidRPr="00B81D1B" w14:paraId="44F2D25F" w14:textId="77777777" w:rsidTr="0048562E">
        <w:trPr>
          <w:trHeight w:val="48"/>
        </w:trPr>
        <w:tc>
          <w:tcPr>
            <w:tcW w:w="2518" w:type="dxa"/>
            <w:tcBorders>
              <w:top w:val="single" w:sz="5" w:space="0" w:color="000000"/>
              <w:left w:val="single" w:sz="5" w:space="0" w:color="000000"/>
              <w:bottom w:val="single" w:sz="5" w:space="0" w:color="000000"/>
              <w:right w:val="single" w:sz="5" w:space="0" w:color="000000"/>
            </w:tcBorders>
          </w:tcPr>
          <w:p w14:paraId="44F2D25B"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Funding</w:t>
            </w:r>
          </w:p>
        </w:tc>
        <w:tc>
          <w:tcPr>
            <w:tcW w:w="709" w:type="dxa"/>
            <w:tcBorders>
              <w:top w:val="single" w:sz="5" w:space="0" w:color="000000"/>
              <w:left w:val="single" w:sz="5" w:space="0" w:color="000000"/>
              <w:bottom w:val="single" w:sz="5" w:space="0" w:color="000000"/>
              <w:right w:val="single" w:sz="5" w:space="0" w:color="000000"/>
            </w:tcBorders>
          </w:tcPr>
          <w:p w14:paraId="44F2D25C"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11</w:t>
            </w:r>
          </w:p>
        </w:tc>
        <w:tc>
          <w:tcPr>
            <w:tcW w:w="5251" w:type="dxa"/>
            <w:tcBorders>
              <w:top w:val="single" w:sz="5" w:space="0" w:color="000000"/>
              <w:left w:val="single" w:sz="5" w:space="0" w:color="000000"/>
              <w:bottom w:val="single" w:sz="5" w:space="0" w:color="000000"/>
              <w:right w:val="single" w:sz="5" w:space="0" w:color="000000"/>
            </w:tcBorders>
          </w:tcPr>
          <w:p w14:paraId="44F2D25D"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44F2D25E"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w:t>
            </w:r>
          </w:p>
        </w:tc>
      </w:tr>
      <w:tr w:rsidR="0014319A" w:rsidRPr="00B81D1B" w14:paraId="44F2D264" w14:textId="77777777" w:rsidTr="0048562E">
        <w:trPr>
          <w:trHeight w:val="219"/>
        </w:trPr>
        <w:tc>
          <w:tcPr>
            <w:tcW w:w="2518" w:type="dxa"/>
            <w:tcBorders>
              <w:top w:val="single" w:sz="5" w:space="0" w:color="000000"/>
              <w:left w:val="single" w:sz="5" w:space="0" w:color="000000"/>
              <w:bottom w:val="double" w:sz="5" w:space="0" w:color="000000"/>
              <w:right w:val="single" w:sz="5" w:space="0" w:color="000000"/>
            </w:tcBorders>
          </w:tcPr>
          <w:p w14:paraId="44F2D260"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Registration</w:t>
            </w:r>
          </w:p>
        </w:tc>
        <w:tc>
          <w:tcPr>
            <w:tcW w:w="709" w:type="dxa"/>
            <w:tcBorders>
              <w:top w:val="single" w:sz="5" w:space="0" w:color="000000"/>
              <w:left w:val="single" w:sz="5" w:space="0" w:color="000000"/>
              <w:bottom w:val="double" w:sz="5" w:space="0" w:color="000000"/>
              <w:right w:val="single" w:sz="5" w:space="0" w:color="000000"/>
            </w:tcBorders>
          </w:tcPr>
          <w:p w14:paraId="44F2D261"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12</w:t>
            </w:r>
          </w:p>
        </w:tc>
        <w:tc>
          <w:tcPr>
            <w:tcW w:w="5251" w:type="dxa"/>
            <w:tcBorders>
              <w:top w:val="single" w:sz="5" w:space="0" w:color="000000"/>
              <w:left w:val="single" w:sz="5" w:space="0" w:color="000000"/>
              <w:bottom w:val="double" w:sz="5" w:space="0" w:color="000000"/>
              <w:right w:val="single" w:sz="5" w:space="0" w:color="000000"/>
            </w:tcBorders>
          </w:tcPr>
          <w:p w14:paraId="44F2D262" w14:textId="77777777" w:rsidR="0014319A" w:rsidRPr="00B81D1B" w:rsidRDefault="0014319A" w:rsidP="00B81D1B">
            <w:pPr>
              <w:pStyle w:val="Default"/>
              <w:spacing w:before="40" w:after="40"/>
              <w:rPr>
                <w:rFonts w:ascii="Times New Roman" w:hAnsi="Times New Roman" w:cs="Times New Roman"/>
              </w:rPr>
            </w:pPr>
            <w:r w:rsidRPr="00B81D1B">
              <w:rPr>
                <w:rFonts w:ascii="Times New Roman" w:hAnsi="Times New Roman" w:cs="Times New Roman"/>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44F2D263" w14:textId="77777777" w:rsidR="0014319A" w:rsidRPr="00B81D1B" w:rsidRDefault="0014319A" w:rsidP="00B81D1B">
            <w:pPr>
              <w:pStyle w:val="Default"/>
              <w:spacing w:before="40" w:after="40"/>
              <w:rPr>
                <w:rFonts w:ascii="Times New Roman" w:hAnsi="Times New Roman" w:cs="Times New Roman"/>
                <w:color w:val="auto"/>
              </w:rPr>
            </w:pPr>
            <w:r w:rsidRPr="00B81D1B">
              <w:rPr>
                <w:rFonts w:ascii="Times New Roman" w:hAnsi="Times New Roman" w:cs="Times New Roman"/>
                <w:color w:val="auto"/>
              </w:rPr>
              <w:t>No</w:t>
            </w:r>
          </w:p>
        </w:tc>
      </w:tr>
    </w:tbl>
    <w:p w14:paraId="44F2D265" w14:textId="20C56661" w:rsidR="008A25BC" w:rsidRDefault="008A25BC" w:rsidP="00B81D1B">
      <w:pPr>
        <w:rPr>
          <w:rFonts w:ascii="Times New Roman" w:hAnsi="Times New Roman" w:cs="Times New Roman"/>
          <w:color w:val="0D0D0D" w:themeColor="text1" w:themeTint="F2"/>
          <w:sz w:val="24"/>
          <w:szCs w:val="24"/>
        </w:rPr>
      </w:pPr>
    </w:p>
    <w:p w14:paraId="44F2D2D2" w14:textId="4194DD98" w:rsidR="00D95D17" w:rsidRDefault="008A25BC" w:rsidP="00676E56">
      <w:pPr>
        <w:spacing w:after="0" w:line="240" w:lineRule="auto"/>
        <w:rPr>
          <w:rFonts w:ascii="Times New Roman" w:hAnsi="Times New Roman" w:cs="Times New Roman"/>
          <w:b/>
          <w:color w:val="0D0D0D" w:themeColor="text1" w:themeTint="F2"/>
          <w:sz w:val="24"/>
          <w:szCs w:val="24"/>
          <w:u w:val="single"/>
        </w:rPr>
      </w:pPr>
      <w:r w:rsidRPr="005B25D5">
        <w:rPr>
          <w:rFonts w:ascii="Times New Roman" w:hAnsi="Times New Roman" w:cs="Times New Roman"/>
          <w:b/>
          <w:bCs/>
          <w:color w:val="0D0D0D" w:themeColor="text1" w:themeTint="F2"/>
          <w:sz w:val="24"/>
          <w:szCs w:val="24"/>
          <w:u w:val="single"/>
        </w:rPr>
        <w:br w:type="page"/>
      </w:r>
      <w:r w:rsidR="006E5A74" w:rsidRPr="00040E3F">
        <w:rPr>
          <w:rFonts w:ascii="Times New Roman" w:hAnsi="Times New Roman" w:cs="Times New Roman"/>
          <w:b/>
          <w:color w:val="0D0D0D" w:themeColor="text1" w:themeTint="F2"/>
          <w:sz w:val="24"/>
          <w:szCs w:val="24"/>
          <w:u w:val="single"/>
        </w:rPr>
        <w:lastRenderedPageBreak/>
        <w:t>Table S2</w:t>
      </w:r>
      <w:r w:rsidR="00040E3F" w:rsidRPr="00040E3F">
        <w:rPr>
          <w:rFonts w:ascii="Times New Roman" w:hAnsi="Times New Roman" w:cs="Times New Roman"/>
          <w:b/>
          <w:color w:val="0D0D0D" w:themeColor="text1" w:themeTint="F2"/>
          <w:sz w:val="24"/>
          <w:szCs w:val="24"/>
          <w:u w:val="single"/>
        </w:rPr>
        <w:t>:</w:t>
      </w:r>
      <w:r w:rsidR="006E5A74" w:rsidRPr="00040E3F">
        <w:rPr>
          <w:rFonts w:ascii="Times New Roman" w:hAnsi="Times New Roman" w:cs="Times New Roman"/>
          <w:b/>
          <w:color w:val="0D0D0D" w:themeColor="text1" w:themeTint="F2"/>
          <w:sz w:val="24"/>
          <w:szCs w:val="24"/>
          <w:u w:val="single"/>
        </w:rPr>
        <w:t xml:space="preserve"> Search strategy methods with</w:t>
      </w:r>
      <w:r w:rsidR="0069220F">
        <w:rPr>
          <w:rFonts w:ascii="Times New Roman" w:hAnsi="Times New Roman" w:cs="Times New Roman"/>
          <w:b/>
          <w:color w:val="0D0D0D" w:themeColor="text1" w:themeTint="F2"/>
          <w:sz w:val="24"/>
          <w:szCs w:val="24"/>
          <w:u w:val="single"/>
        </w:rPr>
        <w:t xml:space="preserve"> </w:t>
      </w:r>
      <w:r w:rsidR="006E5A74" w:rsidRPr="00040E3F">
        <w:rPr>
          <w:rFonts w:ascii="Times New Roman" w:hAnsi="Times New Roman" w:cs="Times New Roman"/>
          <w:b/>
          <w:color w:val="0D0D0D" w:themeColor="text1" w:themeTint="F2"/>
          <w:sz w:val="24"/>
          <w:szCs w:val="24"/>
          <w:u w:val="single"/>
        </w:rPr>
        <w:t>MESH terms</w:t>
      </w:r>
    </w:p>
    <w:tbl>
      <w:tblPr>
        <w:tblStyle w:val="TableGrid"/>
        <w:tblpPr w:leftFromText="180" w:rightFromText="180" w:vertAnchor="page" w:horzAnchor="margin" w:tblpXSpec="center" w:tblpY="1890"/>
        <w:tblW w:w="5000" w:type="pct"/>
        <w:tblLook w:val="04A0" w:firstRow="1" w:lastRow="0" w:firstColumn="1" w:lastColumn="0" w:noHBand="0" w:noVBand="1"/>
      </w:tblPr>
      <w:tblGrid>
        <w:gridCol w:w="509"/>
        <w:gridCol w:w="1750"/>
        <w:gridCol w:w="3949"/>
        <w:gridCol w:w="1097"/>
        <w:gridCol w:w="937"/>
        <w:gridCol w:w="1030"/>
        <w:gridCol w:w="844"/>
      </w:tblGrid>
      <w:tr w:rsidR="00D95D17" w:rsidRPr="009B0E76" w14:paraId="7FA36F82" w14:textId="77777777" w:rsidTr="0027224D">
        <w:trPr>
          <w:trHeight w:val="57"/>
        </w:trPr>
        <w:tc>
          <w:tcPr>
            <w:tcW w:w="252" w:type="pct"/>
            <w:vAlign w:val="center"/>
          </w:tcPr>
          <w:p w14:paraId="0A5E22B3"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S.</w:t>
            </w:r>
          </w:p>
          <w:p w14:paraId="5865EDC4"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No</w:t>
            </w:r>
          </w:p>
        </w:tc>
        <w:tc>
          <w:tcPr>
            <w:tcW w:w="865" w:type="pct"/>
            <w:vAlign w:val="center"/>
          </w:tcPr>
          <w:p w14:paraId="595F4FA5"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Domain</w:t>
            </w:r>
          </w:p>
        </w:tc>
        <w:tc>
          <w:tcPr>
            <w:tcW w:w="1951" w:type="pct"/>
            <w:vAlign w:val="center"/>
          </w:tcPr>
          <w:p w14:paraId="387F45CF"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Search details</w:t>
            </w:r>
          </w:p>
          <w:p w14:paraId="05A5DA03" w14:textId="22C6C084"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 xml:space="preserve">Searched till </w:t>
            </w:r>
            <w:r w:rsidR="00FE0947">
              <w:rPr>
                <w:rFonts w:ascii="Times New Roman" w:hAnsi="Times New Roman" w:cs="Times New Roman"/>
                <w:b/>
                <w:bCs/>
              </w:rPr>
              <w:t>February 2024</w:t>
            </w:r>
          </w:p>
        </w:tc>
        <w:tc>
          <w:tcPr>
            <w:tcW w:w="542" w:type="pct"/>
            <w:vAlign w:val="center"/>
          </w:tcPr>
          <w:p w14:paraId="46A96754"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PubMed</w:t>
            </w:r>
          </w:p>
        </w:tc>
        <w:tc>
          <w:tcPr>
            <w:tcW w:w="463" w:type="pct"/>
            <w:vAlign w:val="center"/>
          </w:tcPr>
          <w:p w14:paraId="6BEDCADE"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Scopus</w:t>
            </w:r>
          </w:p>
        </w:tc>
        <w:tc>
          <w:tcPr>
            <w:tcW w:w="509" w:type="pct"/>
            <w:vAlign w:val="center"/>
          </w:tcPr>
          <w:p w14:paraId="1C8CA02F"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Embase</w:t>
            </w:r>
          </w:p>
        </w:tc>
        <w:tc>
          <w:tcPr>
            <w:tcW w:w="417" w:type="pct"/>
            <w:vAlign w:val="center"/>
          </w:tcPr>
          <w:p w14:paraId="59E9F687" w14:textId="77777777" w:rsidR="00D95D17" w:rsidRPr="006A6EA9" w:rsidRDefault="00D95D17" w:rsidP="0027224D">
            <w:pPr>
              <w:rPr>
                <w:rFonts w:ascii="Times New Roman" w:hAnsi="Times New Roman" w:cs="Times New Roman"/>
                <w:b/>
                <w:bCs/>
              </w:rPr>
            </w:pPr>
            <w:r w:rsidRPr="006A6EA9">
              <w:rPr>
                <w:rFonts w:ascii="Times New Roman" w:hAnsi="Times New Roman" w:cs="Times New Roman"/>
                <w:b/>
                <w:bCs/>
              </w:rPr>
              <w:t>OVID</w:t>
            </w:r>
          </w:p>
        </w:tc>
      </w:tr>
      <w:tr w:rsidR="00D95D17" w:rsidRPr="00B81D1B" w14:paraId="1E170FD0" w14:textId="77777777" w:rsidTr="0027224D">
        <w:trPr>
          <w:trHeight w:val="57"/>
        </w:trPr>
        <w:tc>
          <w:tcPr>
            <w:tcW w:w="252" w:type="pct"/>
            <w:vAlign w:val="center"/>
          </w:tcPr>
          <w:p w14:paraId="3BF9BF98"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1.</w:t>
            </w:r>
          </w:p>
        </w:tc>
        <w:tc>
          <w:tcPr>
            <w:tcW w:w="865" w:type="pct"/>
            <w:vAlign w:val="center"/>
          </w:tcPr>
          <w:p w14:paraId="7737FD50"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“Sphingosine kinase 1” AND Lymphoma</w:t>
            </w:r>
          </w:p>
        </w:tc>
        <w:tc>
          <w:tcPr>
            <w:tcW w:w="1951" w:type="pct"/>
            <w:vAlign w:val="center"/>
          </w:tcPr>
          <w:p w14:paraId="39FDD0C3"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"Sphingosine kinase 1"[All Fields] AND ("lymphoma"[MeSH Terms] OR "lymphoma"[All Fields] OR "lymphomas"[All Fields] OR "lymphoma s"[All Fields])</w:t>
            </w:r>
          </w:p>
        </w:tc>
        <w:tc>
          <w:tcPr>
            <w:tcW w:w="542" w:type="pct"/>
            <w:vAlign w:val="center"/>
          </w:tcPr>
          <w:p w14:paraId="593E957E"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18</w:t>
            </w:r>
          </w:p>
        </w:tc>
        <w:tc>
          <w:tcPr>
            <w:tcW w:w="463" w:type="pct"/>
            <w:vAlign w:val="center"/>
          </w:tcPr>
          <w:p w14:paraId="50F9D5A5"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32</w:t>
            </w:r>
          </w:p>
        </w:tc>
        <w:tc>
          <w:tcPr>
            <w:tcW w:w="509" w:type="pct"/>
            <w:vAlign w:val="center"/>
          </w:tcPr>
          <w:p w14:paraId="1B85F0BD"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38</w:t>
            </w:r>
          </w:p>
        </w:tc>
        <w:tc>
          <w:tcPr>
            <w:tcW w:w="417" w:type="pct"/>
            <w:vAlign w:val="center"/>
          </w:tcPr>
          <w:p w14:paraId="7C71354F"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148</w:t>
            </w:r>
          </w:p>
        </w:tc>
      </w:tr>
      <w:tr w:rsidR="00D95D17" w:rsidRPr="00B81D1B" w14:paraId="33B5F546" w14:textId="77777777" w:rsidTr="0027224D">
        <w:trPr>
          <w:trHeight w:val="57"/>
        </w:trPr>
        <w:tc>
          <w:tcPr>
            <w:tcW w:w="252" w:type="pct"/>
            <w:vAlign w:val="center"/>
          </w:tcPr>
          <w:p w14:paraId="75C658A1"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2.</w:t>
            </w:r>
          </w:p>
        </w:tc>
        <w:tc>
          <w:tcPr>
            <w:tcW w:w="865" w:type="pct"/>
            <w:vAlign w:val="center"/>
          </w:tcPr>
          <w:p w14:paraId="55430FEC"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 AND Lymphoma</w:t>
            </w:r>
          </w:p>
        </w:tc>
        <w:tc>
          <w:tcPr>
            <w:tcW w:w="1951" w:type="pct"/>
            <w:vAlign w:val="center"/>
          </w:tcPr>
          <w:p w14:paraId="08C6BF4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"SphK1"[All Fields] AND ("lymphoma"[MeSH Terms] OR "lymphoma"[All Fields] OR "lymphomas"[All Fields] OR "lymphoma s"[All Fields])</w:t>
            </w:r>
          </w:p>
        </w:tc>
        <w:tc>
          <w:tcPr>
            <w:tcW w:w="542" w:type="pct"/>
            <w:vAlign w:val="center"/>
          </w:tcPr>
          <w:p w14:paraId="4BA3F761" w14:textId="77777777" w:rsidR="00D95D17" w:rsidRPr="006A6EA9" w:rsidRDefault="00D95D17" w:rsidP="007E2212">
            <w:pPr>
              <w:jc w:val="center"/>
              <w:rPr>
                <w:rFonts w:ascii="Times New Roman" w:hAnsi="Times New Roman" w:cs="Times New Roman"/>
                <w:color w:val="0D0D0D" w:themeColor="text1" w:themeTint="F2"/>
              </w:rPr>
            </w:pPr>
            <w:r w:rsidRPr="007C7820">
              <w:rPr>
                <w:rFonts w:ascii="Times New Roman" w:hAnsi="Times New Roman" w:cs="Times New Roman"/>
                <w:color w:val="0D0D0D" w:themeColor="text1" w:themeTint="F2"/>
              </w:rPr>
              <w:t>13</w:t>
            </w:r>
          </w:p>
        </w:tc>
        <w:tc>
          <w:tcPr>
            <w:tcW w:w="463" w:type="pct"/>
            <w:vAlign w:val="center"/>
          </w:tcPr>
          <w:p w14:paraId="6C562B1D"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17</w:t>
            </w:r>
          </w:p>
        </w:tc>
        <w:tc>
          <w:tcPr>
            <w:tcW w:w="509" w:type="pct"/>
            <w:vAlign w:val="center"/>
          </w:tcPr>
          <w:p w14:paraId="40C0E06F"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21</w:t>
            </w:r>
          </w:p>
        </w:tc>
        <w:tc>
          <w:tcPr>
            <w:tcW w:w="417" w:type="pct"/>
            <w:vAlign w:val="center"/>
          </w:tcPr>
          <w:p w14:paraId="426EE78D"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156</w:t>
            </w:r>
          </w:p>
        </w:tc>
      </w:tr>
      <w:tr w:rsidR="00D95D17" w:rsidRPr="00B81D1B" w14:paraId="3160CDDA" w14:textId="77777777" w:rsidTr="0027224D">
        <w:trPr>
          <w:trHeight w:val="57"/>
        </w:trPr>
        <w:tc>
          <w:tcPr>
            <w:tcW w:w="252" w:type="pct"/>
            <w:vAlign w:val="center"/>
          </w:tcPr>
          <w:p w14:paraId="668F4B3B"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3.</w:t>
            </w:r>
          </w:p>
        </w:tc>
        <w:tc>
          <w:tcPr>
            <w:tcW w:w="865" w:type="pct"/>
            <w:vAlign w:val="center"/>
          </w:tcPr>
          <w:p w14:paraId="2245F73E"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 AND Lymphoma</w:t>
            </w:r>
          </w:p>
        </w:tc>
        <w:tc>
          <w:tcPr>
            <w:tcW w:w="1951" w:type="pct"/>
            <w:vAlign w:val="center"/>
          </w:tcPr>
          <w:p w14:paraId="712AD31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"SK1"[All Fields] AND ("lymphoma"[MeSH Terms] OR "lymphoma"[All Fields] OR "lymphomas"[All Fields] OR "lymphoma s"[All Fields])</w:t>
            </w:r>
          </w:p>
        </w:tc>
        <w:tc>
          <w:tcPr>
            <w:tcW w:w="542" w:type="pct"/>
            <w:vAlign w:val="center"/>
          </w:tcPr>
          <w:p w14:paraId="12F059AB" w14:textId="77777777" w:rsidR="00D95D17" w:rsidRPr="007C7820" w:rsidRDefault="00D95D17" w:rsidP="007E2212">
            <w:pPr>
              <w:jc w:val="center"/>
              <w:rPr>
                <w:rFonts w:ascii="Times New Roman" w:hAnsi="Times New Roman" w:cs="Times New Roman"/>
                <w:color w:val="FF0000"/>
              </w:rPr>
            </w:pPr>
            <w:r w:rsidRPr="007C7820">
              <w:rPr>
                <w:rFonts w:ascii="Times New Roman" w:hAnsi="Times New Roman" w:cs="Times New Roman"/>
                <w:color w:val="0D0D0D" w:themeColor="text1" w:themeTint="F2"/>
              </w:rPr>
              <w:t>9</w:t>
            </w:r>
          </w:p>
        </w:tc>
        <w:tc>
          <w:tcPr>
            <w:tcW w:w="463" w:type="pct"/>
            <w:vAlign w:val="center"/>
          </w:tcPr>
          <w:p w14:paraId="29ACBFFA" w14:textId="00793A88"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9</w:t>
            </w:r>
          </w:p>
        </w:tc>
        <w:tc>
          <w:tcPr>
            <w:tcW w:w="509" w:type="pct"/>
            <w:vAlign w:val="center"/>
          </w:tcPr>
          <w:p w14:paraId="634D9EE7"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14</w:t>
            </w:r>
          </w:p>
        </w:tc>
        <w:tc>
          <w:tcPr>
            <w:tcW w:w="417" w:type="pct"/>
            <w:vAlign w:val="center"/>
          </w:tcPr>
          <w:p w14:paraId="33D5EFE4"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230</w:t>
            </w:r>
          </w:p>
        </w:tc>
      </w:tr>
      <w:tr w:rsidR="00D95D17" w:rsidRPr="00B81D1B" w14:paraId="7074EEF8" w14:textId="77777777" w:rsidTr="0027224D">
        <w:trPr>
          <w:trHeight w:val="57"/>
        </w:trPr>
        <w:tc>
          <w:tcPr>
            <w:tcW w:w="252" w:type="pct"/>
            <w:vAlign w:val="center"/>
          </w:tcPr>
          <w:p w14:paraId="69C5FDBB"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4.</w:t>
            </w:r>
          </w:p>
        </w:tc>
        <w:tc>
          <w:tcPr>
            <w:tcW w:w="865" w:type="pct"/>
            <w:vAlign w:val="center"/>
          </w:tcPr>
          <w:p w14:paraId="6BA3F175"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“Sphingosine kinase 1” AND Leukemia</w:t>
            </w:r>
          </w:p>
        </w:tc>
        <w:tc>
          <w:tcPr>
            <w:tcW w:w="1951" w:type="pct"/>
            <w:vAlign w:val="center"/>
          </w:tcPr>
          <w:p w14:paraId="0B72FF6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"Sphingosine kinase 1"[All Fields] AND ("leukaemia"[All Fields] OR "leukemia"[MeSH Terms] OR "leukemia"[All Fields] OR "leukaemias"[All Fields] OR "leukemias"[All Fields] OR "leukemia s"[All Fields])</w:t>
            </w:r>
          </w:p>
        </w:tc>
        <w:tc>
          <w:tcPr>
            <w:tcW w:w="542" w:type="pct"/>
            <w:vAlign w:val="center"/>
          </w:tcPr>
          <w:p w14:paraId="55BBF90A" w14:textId="77777777" w:rsidR="00D95D17" w:rsidRPr="007C7820" w:rsidRDefault="00D95D17" w:rsidP="007E2212">
            <w:pPr>
              <w:jc w:val="center"/>
              <w:rPr>
                <w:rFonts w:ascii="Times New Roman" w:hAnsi="Times New Roman" w:cs="Times New Roman"/>
                <w:color w:val="0D0D0D" w:themeColor="text1" w:themeTint="F2"/>
              </w:rPr>
            </w:pPr>
            <w:r w:rsidRPr="007C7820">
              <w:rPr>
                <w:rFonts w:ascii="Times New Roman" w:hAnsi="Times New Roman" w:cs="Times New Roman"/>
                <w:color w:val="0D0D0D" w:themeColor="text1" w:themeTint="F2"/>
              </w:rPr>
              <w:t>57</w:t>
            </w:r>
          </w:p>
        </w:tc>
        <w:tc>
          <w:tcPr>
            <w:tcW w:w="463" w:type="pct"/>
            <w:vAlign w:val="center"/>
          </w:tcPr>
          <w:p w14:paraId="274DD571"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110</w:t>
            </w:r>
          </w:p>
        </w:tc>
        <w:tc>
          <w:tcPr>
            <w:tcW w:w="509" w:type="pct"/>
            <w:vAlign w:val="center"/>
          </w:tcPr>
          <w:p w14:paraId="70021D99"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156</w:t>
            </w:r>
          </w:p>
        </w:tc>
        <w:tc>
          <w:tcPr>
            <w:tcW w:w="417" w:type="pct"/>
            <w:vAlign w:val="center"/>
          </w:tcPr>
          <w:p w14:paraId="1C3676B6"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219</w:t>
            </w:r>
          </w:p>
        </w:tc>
      </w:tr>
      <w:tr w:rsidR="00D95D17" w:rsidRPr="00B81D1B" w14:paraId="40A82C40" w14:textId="77777777" w:rsidTr="0027224D">
        <w:trPr>
          <w:trHeight w:val="57"/>
        </w:trPr>
        <w:tc>
          <w:tcPr>
            <w:tcW w:w="252" w:type="pct"/>
            <w:vAlign w:val="center"/>
          </w:tcPr>
          <w:p w14:paraId="51008B8A"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5.</w:t>
            </w:r>
          </w:p>
        </w:tc>
        <w:tc>
          <w:tcPr>
            <w:tcW w:w="865" w:type="pct"/>
            <w:vAlign w:val="center"/>
          </w:tcPr>
          <w:p w14:paraId="1CF6194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 AND Leukemia</w:t>
            </w:r>
          </w:p>
        </w:tc>
        <w:tc>
          <w:tcPr>
            <w:tcW w:w="1951" w:type="pct"/>
            <w:vAlign w:val="center"/>
          </w:tcPr>
          <w:p w14:paraId="2833B093"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"SphK1"[All Fields] AND ("leukaemia"[All Fields] OR "leukemia"[MeSH Terms] OR "leukemia"[All Fields] OR "leukaemias"[All Fields] OR "leukemias"[All Fields] OR "leukemia s"[All Fields])</w:t>
            </w:r>
          </w:p>
        </w:tc>
        <w:tc>
          <w:tcPr>
            <w:tcW w:w="542" w:type="pct"/>
            <w:vAlign w:val="center"/>
          </w:tcPr>
          <w:p w14:paraId="6209C8B3" w14:textId="77777777" w:rsidR="00D95D17" w:rsidRPr="006A6EA9" w:rsidRDefault="00D95D17" w:rsidP="007E2212">
            <w:pPr>
              <w:jc w:val="center"/>
              <w:rPr>
                <w:rFonts w:ascii="Times New Roman" w:hAnsi="Times New Roman" w:cs="Times New Roman"/>
                <w:color w:val="0D0D0D" w:themeColor="text1" w:themeTint="F2"/>
              </w:rPr>
            </w:pPr>
            <w:r w:rsidRPr="007C7820">
              <w:rPr>
                <w:rFonts w:ascii="Times New Roman" w:hAnsi="Times New Roman" w:cs="Times New Roman"/>
                <w:color w:val="0D0D0D" w:themeColor="text1" w:themeTint="F2"/>
              </w:rPr>
              <w:t>42</w:t>
            </w:r>
          </w:p>
        </w:tc>
        <w:tc>
          <w:tcPr>
            <w:tcW w:w="463" w:type="pct"/>
            <w:vAlign w:val="center"/>
          </w:tcPr>
          <w:p w14:paraId="2C6557F1"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48</w:t>
            </w:r>
          </w:p>
        </w:tc>
        <w:tc>
          <w:tcPr>
            <w:tcW w:w="509" w:type="pct"/>
            <w:vAlign w:val="center"/>
          </w:tcPr>
          <w:p w14:paraId="46EB7505"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67</w:t>
            </w:r>
          </w:p>
        </w:tc>
        <w:tc>
          <w:tcPr>
            <w:tcW w:w="417" w:type="pct"/>
            <w:vAlign w:val="center"/>
          </w:tcPr>
          <w:p w14:paraId="51F50AB2"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201</w:t>
            </w:r>
          </w:p>
        </w:tc>
      </w:tr>
      <w:tr w:rsidR="00D95D17" w:rsidRPr="00B81D1B" w14:paraId="6FF6F798" w14:textId="77777777" w:rsidTr="0027224D">
        <w:trPr>
          <w:trHeight w:val="57"/>
        </w:trPr>
        <w:tc>
          <w:tcPr>
            <w:tcW w:w="252" w:type="pct"/>
            <w:vAlign w:val="center"/>
          </w:tcPr>
          <w:p w14:paraId="0EB6681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6.</w:t>
            </w:r>
          </w:p>
        </w:tc>
        <w:tc>
          <w:tcPr>
            <w:tcW w:w="865" w:type="pct"/>
            <w:vAlign w:val="center"/>
          </w:tcPr>
          <w:p w14:paraId="06C345B2"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 AND Leukemia</w:t>
            </w:r>
          </w:p>
        </w:tc>
        <w:tc>
          <w:tcPr>
            <w:tcW w:w="1951" w:type="pct"/>
            <w:vAlign w:val="center"/>
          </w:tcPr>
          <w:p w14:paraId="0C557843"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"SK1"[All Fields] AND ("leukaemia"[All Fields] OR "leukemia"[MeSH Terms] OR "leukemia"[All Fields] OR "leukaemias"[All Fields] OR "leukemias"[All Fields] OR "leukemia s"[All Fields])</w:t>
            </w:r>
          </w:p>
        </w:tc>
        <w:tc>
          <w:tcPr>
            <w:tcW w:w="542" w:type="pct"/>
            <w:vAlign w:val="center"/>
          </w:tcPr>
          <w:p w14:paraId="45F35777"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17</w:t>
            </w:r>
          </w:p>
        </w:tc>
        <w:tc>
          <w:tcPr>
            <w:tcW w:w="463" w:type="pct"/>
            <w:vAlign w:val="center"/>
          </w:tcPr>
          <w:p w14:paraId="236F41C1"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17</w:t>
            </w:r>
          </w:p>
        </w:tc>
        <w:tc>
          <w:tcPr>
            <w:tcW w:w="509" w:type="pct"/>
            <w:vAlign w:val="center"/>
          </w:tcPr>
          <w:p w14:paraId="7E3A5490"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64</w:t>
            </w:r>
          </w:p>
        </w:tc>
        <w:tc>
          <w:tcPr>
            <w:tcW w:w="417" w:type="pct"/>
            <w:vAlign w:val="center"/>
          </w:tcPr>
          <w:p w14:paraId="1ECB1525"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244</w:t>
            </w:r>
          </w:p>
        </w:tc>
      </w:tr>
      <w:tr w:rsidR="00D95D17" w:rsidRPr="00B81D1B" w14:paraId="18A14768" w14:textId="77777777" w:rsidTr="0027224D">
        <w:trPr>
          <w:trHeight w:val="57"/>
        </w:trPr>
        <w:tc>
          <w:tcPr>
            <w:tcW w:w="252" w:type="pct"/>
            <w:vAlign w:val="center"/>
          </w:tcPr>
          <w:p w14:paraId="7085632C"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7.</w:t>
            </w:r>
          </w:p>
        </w:tc>
        <w:tc>
          <w:tcPr>
            <w:tcW w:w="865" w:type="pct"/>
            <w:vAlign w:val="center"/>
          </w:tcPr>
          <w:p w14:paraId="483A90FC"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“Sphingosine kinase 1” AND</w:t>
            </w:r>
          </w:p>
          <w:p w14:paraId="09D8F316"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 xml:space="preserve">“Multiple myeloma” </w:t>
            </w:r>
          </w:p>
        </w:tc>
        <w:tc>
          <w:tcPr>
            <w:tcW w:w="195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2"/>
              <w:gridCol w:w="81"/>
            </w:tblGrid>
            <w:tr w:rsidR="00D95D17" w:rsidRPr="006A6EA9" w14:paraId="442A5603" w14:textId="77777777" w:rsidTr="0027224D">
              <w:trPr>
                <w:tblCellSpacing w:w="15" w:type="dxa"/>
              </w:trPr>
              <w:tc>
                <w:tcPr>
                  <w:tcW w:w="7082" w:type="dxa"/>
                  <w:vAlign w:val="center"/>
                  <w:hideMark/>
                </w:tcPr>
                <w:p w14:paraId="62F236CE" w14:textId="77777777" w:rsidR="00D95D17" w:rsidRPr="006A6EA9" w:rsidRDefault="00D95D17" w:rsidP="004F35E2">
                  <w:pPr>
                    <w:framePr w:hSpace="180" w:wrap="around" w:vAnchor="page" w:hAnchor="margin" w:xAlign="center" w:y="1890"/>
                    <w:spacing w:after="0" w:line="240" w:lineRule="auto"/>
                    <w:rPr>
                      <w:rFonts w:ascii="Times New Roman" w:eastAsia="Times New Roman" w:hAnsi="Times New Roman" w:cs="Times New Roman"/>
                    </w:rPr>
                  </w:pPr>
                  <w:r w:rsidRPr="006A6EA9">
                    <w:rPr>
                      <w:rFonts w:ascii="Times New Roman" w:eastAsia="Times New Roman" w:hAnsi="Times New Roman" w:cs="Times New Roman"/>
                    </w:rPr>
                    <w:t>"Sphingosine kinase 1"</w:t>
                  </w:r>
                </w:p>
                <w:p w14:paraId="012D764D" w14:textId="77777777" w:rsidR="00D95D17" w:rsidRPr="006A6EA9" w:rsidRDefault="00D95D17" w:rsidP="004F35E2">
                  <w:pPr>
                    <w:framePr w:hSpace="180" w:wrap="around" w:vAnchor="page" w:hAnchor="margin" w:xAlign="center" w:y="1890"/>
                    <w:spacing w:after="0" w:line="240" w:lineRule="auto"/>
                    <w:rPr>
                      <w:rFonts w:ascii="Times New Roman" w:eastAsia="Times New Roman" w:hAnsi="Times New Roman" w:cs="Times New Roman"/>
                    </w:rPr>
                  </w:pPr>
                  <w:r w:rsidRPr="006A6EA9">
                    <w:rPr>
                      <w:rFonts w:ascii="Times New Roman" w:eastAsia="Times New Roman" w:hAnsi="Times New Roman" w:cs="Times New Roman"/>
                    </w:rPr>
                    <w:t xml:space="preserve">[All Fields] AND "multiple </w:t>
                  </w:r>
                </w:p>
                <w:p w14:paraId="482005F2" w14:textId="77777777" w:rsidR="00D95D17" w:rsidRPr="006A6EA9" w:rsidRDefault="00D95D17" w:rsidP="004F35E2">
                  <w:pPr>
                    <w:framePr w:hSpace="180" w:wrap="around" w:vAnchor="page" w:hAnchor="margin" w:xAlign="center" w:y="1890"/>
                    <w:spacing w:after="0" w:line="240" w:lineRule="auto"/>
                    <w:rPr>
                      <w:rFonts w:ascii="Times New Roman" w:eastAsia="Times New Roman" w:hAnsi="Times New Roman" w:cs="Times New Roman"/>
                    </w:rPr>
                  </w:pPr>
                  <w:r w:rsidRPr="006A6EA9">
                    <w:rPr>
                      <w:rFonts w:ascii="Times New Roman" w:eastAsia="Times New Roman" w:hAnsi="Times New Roman" w:cs="Times New Roman"/>
                    </w:rPr>
                    <w:t xml:space="preserve">myeloma"[All Fields] </w:t>
                  </w:r>
                </w:p>
              </w:tc>
              <w:tc>
                <w:tcPr>
                  <w:tcW w:w="36" w:type="dxa"/>
                  <w:vAlign w:val="center"/>
                  <w:hideMark/>
                </w:tcPr>
                <w:p w14:paraId="0F90E192" w14:textId="77777777" w:rsidR="00D95D17" w:rsidRPr="006A6EA9" w:rsidRDefault="00D95D17" w:rsidP="004F35E2">
                  <w:pPr>
                    <w:framePr w:hSpace="180" w:wrap="around" w:vAnchor="page" w:hAnchor="margin" w:xAlign="center" w:y="1890"/>
                    <w:spacing w:after="0" w:line="240" w:lineRule="auto"/>
                    <w:rPr>
                      <w:rFonts w:ascii="Times New Roman" w:eastAsia="Times New Roman" w:hAnsi="Times New Roman" w:cs="Times New Roman"/>
                    </w:rPr>
                  </w:pPr>
                </w:p>
              </w:tc>
            </w:tr>
          </w:tbl>
          <w:p w14:paraId="27327EDE" w14:textId="77777777" w:rsidR="00D95D17" w:rsidRPr="006A6EA9" w:rsidRDefault="00D95D17" w:rsidP="0027224D">
            <w:pPr>
              <w:rPr>
                <w:rFonts w:ascii="Times New Roman" w:hAnsi="Times New Roman" w:cs="Times New Roman"/>
              </w:rPr>
            </w:pPr>
          </w:p>
        </w:tc>
        <w:tc>
          <w:tcPr>
            <w:tcW w:w="542" w:type="pct"/>
            <w:vAlign w:val="center"/>
          </w:tcPr>
          <w:p w14:paraId="5739D2F4"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2</w:t>
            </w:r>
          </w:p>
        </w:tc>
        <w:tc>
          <w:tcPr>
            <w:tcW w:w="463" w:type="pct"/>
            <w:vAlign w:val="center"/>
          </w:tcPr>
          <w:p w14:paraId="605EBF58"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18</w:t>
            </w:r>
          </w:p>
        </w:tc>
        <w:tc>
          <w:tcPr>
            <w:tcW w:w="509" w:type="pct"/>
            <w:vAlign w:val="center"/>
          </w:tcPr>
          <w:p w14:paraId="2DDF719B"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31</w:t>
            </w:r>
          </w:p>
        </w:tc>
        <w:tc>
          <w:tcPr>
            <w:tcW w:w="417" w:type="pct"/>
            <w:vAlign w:val="center"/>
          </w:tcPr>
          <w:p w14:paraId="70160A97" w14:textId="77777777" w:rsidR="00D95D17" w:rsidRPr="006A6EA9" w:rsidRDefault="00D95D17" w:rsidP="007E2212">
            <w:pPr>
              <w:jc w:val="center"/>
              <w:rPr>
                <w:rFonts w:ascii="Times New Roman" w:hAnsi="Times New Roman" w:cs="Times New Roman"/>
                <w:color w:val="0D0D0D" w:themeColor="text1" w:themeTint="F2"/>
              </w:rPr>
            </w:pPr>
            <w:r w:rsidRPr="004276CE">
              <w:rPr>
                <w:rFonts w:ascii="Times New Roman" w:hAnsi="Times New Roman" w:cs="Times New Roman"/>
                <w:color w:val="0D0D0D" w:themeColor="text1" w:themeTint="F2"/>
              </w:rPr>
              <w:t>49</w:t>
            </w:r>
          </w:p>
        </w:tc>
      </w:tr>
      <w:tr w:rsidR="00D95D17" w:rsidRPr="00B81D1B" w14:paraId="623C6059" w14:textId="77777777" w:rsidTr="0027224D">
        <w:trPr>
          <w:trHeight w:val="57"/>
        </w:trPr>
        <w:tc>
          <w:tcPr>
            <w:tcW w:w="252" w:type="pct"/>
            <w:vAlign w:val="center"/>
          </w:tcPr>
          <w:p w14:paraId="7E3D20B1"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8.</w:t>
            </w:r>
          </w:p>
        </w:tc>
        <w:tc>
          <w:tcPr>
            <w:tcW w:w="865" w:type="pct"/>
            <w:vAlign w:val="center"/>
          </w:tcPr>
          <w:p w14:paraId="0A1C242F"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 AND “Multiple myeloma”</w:t>
            </w:r>
          </w:p>
        </w:tc>
        <w:tc>
          <w:tcPr>
            <w:tcW w:w="1951" w:type="pct"/>
            <w:vAlign w:val="center"/>
          </w:tcPr>
          <w:p w14:paraId="74A4D88B"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"SphK1"[All Fields] AND "multiple myeloma"[All Fields]</w:t>
            </w:r>
          </w:p>
        </w:tc>
        <w:tc>
          <w:tcPr>
            <w:tcW w:w="542" w:type="pct"/>
            <w:vAlign w:val="center"/>
          </w:tcPr>
          <w:p w14:paraId="7314328C"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4</w:t>
            </w:r>
          </w:p>
        </w:tc>
        <w:tc>
          <w:tcPr>
            <w:tcW w:w="463" w:type="pct"/>
            <w:vAlign w:val="center"/>
          </w:tcPr>
          <w:p w14:paraId="68E40DFB"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8</w:t>
            </w:r>
          </w:p>
        </w:tc>
        <w:tc>
          <w:tcPr>
            <w:tcW w:w="509" w:type="pct"/>
            <w:vAlign w:val="center"/>
          </w:tcPr>
          <w:p w14:paraId="0FF95065"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21</w:t>
            </w:r>
          </w:p>
        </w:tc>
        <w:tc>
          <w:tcPr>
            <w:tcW w:w="417" w:type="pct"/>
            <w:vAlign w:val="center"/>
          </w:tcPr>
          <w:p w14:paraId="6A8DEFFB" w14:textId="45C71280"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53</w:t>
            </w:r>
          </w:p>
        </w:tc>
      </w:tr>
      <w:tr w:rsidR="00D95D17" w:rsidRPr="00B81D1B" w14:paraId="69F03227" w14:textId="77777777" w:rsidTr="0027224D">
        <w:trPr>
          <w:trHeight w:val="57"/>
        </w:trPr>
        <w:tc>
          <w:tcPr>
            <w:tcW w:w="252" w:type="pct"/>
            <w:vAlign w:val="center"/>
          </w:tcPr>
          <w:p w14:paraId="41493350"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9.</w:t>
            </w:r>
          </w:p>
        </w:tc>
        <w:tc>
          <w:tcPr>
            <w:tcW w:w="865" w:type="pct"/>
            <w:vAlign w:val="center"/>
          </w:tcPr>
          <w:p w14:paraId="30425D01"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 AND “Multiple myeloma”</w:t>
            </w:r>
          </w:p>
        </w:tc>
        <w:tc>
          <w:tcPr>
            <w:tcW w:w="1951" w:type="pct"/>
            <w:vAlign w:val="center"/>
          </w:tcPr>
          <w:p w14:paraId="7CF6BA23" w14:textId="77777777" w:rsidR="00D95D17" w:rsidRPr="006A6EA9" w:rsidRDefault="00D95D17" w:rsidP="0027224D">
            <w:pPr>
              <w:rPr>
                <w:rFonts w:ascii="Times New Roman" w:hAnsi="Times New Roman" w:cs="Times New Roman"/>
              </w:rPr>
            </w:pPr>
            <w:r w:rsidRPr="006A6EA9">
              <w:rPr>
                <w:rFonts w:ascii="Times New Roman" w:hAnsi="Times New Roman" w:cs="Times New Roman"/>
              </w:rPr>
              <w:t>"SK1"[All Fields] AND "multiple myeloma"[All Fields]</w:t>
            </w:r>
          </w:p>
        </w:tc>
        <w:tc>
          <w:tcPr>
            <w:tcW w:w="542" w:type="pct"/>
            <w:vAlign w:val="center"/>
          </w:tcPr>
          <w:p w14:paraId="204FDB8F"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2</w:t>
            </w:r>
          </w:p>
        </w:tc>
        <w:tc>
          <w:tcPr>
            <w:tcW w:w="463" w:type="pct"/>
            <w:vAlign w:val="center"/>
          </w:tcPr>
          <w:p w14:paraId="32A6C6C1" w14:textId="77777777" w:rsidR="00D95D17" w:rsidRPr="006A6EA9" w:rsidRDefault="00D95D17" w:rsidP="007E2212">
            <w:pPr>
              <w:jc w:val="center"/>
              <w:rPr>
                <w:rFonts w:ascii="Times New Roman" w:hAnsi="Times New Roman" w:cs="Times New Roman"/>
                <w:color w:val="0D0D0D" w:themeColor="text1" w:themeTint="F2"/>
              </w:rPr>
            </w:pPr>
            <w:r w:rsidRPr="006A6EA9">
              <w:rPr>
                <w:rFonts w:ascii="Times New Roman" w:hAnsi="Times New Roman" w:cs="Times New Roman"/>
                <w:color w:val="0D0D0D" w:themeColor="text1" w:themeTint="F2"/>
              </w:rPr>
              <w:t>3</w:t>
            </w:r>
          </w:p>
        </w:tc>
        <w:tc>
          <w:tcPr>
            <w:tcW w:w="509" w:type="pct"/>
            <w:vAlign w:val="center"/>
          </w:tcPr>
          <w:p w14:paraId="4323B0BB"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10</w:t>
            </w:r>
          </w:p>
        </w:tc>
        <w:tc>
          <w:tcPr>
            <w:tcW w:w="417" w:type="pct"/>
            <w:vAlign w:val="center"/>
          </w:tcPr>
          <w:p w14:paraId="4B3FCEE0" w14:textId="77777777" w:rsidR="00D95D17" w:rsidRPr="006A6EA9" w:rsidRDefault="00D95D17" w:rsidP="007E2212">
            <w:pPr>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61</w:t>
            </w:r>
          </w:p>
        </w:tc>
      </w:tr>
      <w:tr w:rsidR="00D95D17" w:rsidRPr="00B81D1B" w14:paraId="29F99A3F" w14:textId="77777777" w:rsidTr="0027224D">
        <w:tblPrEx>
          <w:tblLook w:val="0000" w:firstRow="0" w:lastRow="0" w:firstColumn="0" w:lastColumn="0" w:noHBand="0" w:noVBand="0"/>
        </w:tblPrEx>
        <w:trPr>
          <w:trHeight w:val="57"/>
        </w:trPr>
        <w:tc>
          <w:tcPr>
            <w:tcW w:w="252" w:type="pct"/>
            <w:vAlign w:val="center"/>
          </w:tcPr>
          <w:p w14:paraId="3EC0E6A6" w14:textId="77777777" w:rsidR="00D95D17" w:rsidRPr="006A6EA9" w:rsidRDefault="00D95D17" w:rsidP="0027224D">
            <w:pPr>
              <w:rPr>
                <w:rFonts w:ascii="Times New Roman" w:hAnsi="Times New Roman" w:cs="Times New Roman"/>
                <w:b/>
                <w:color w:val="FF0000"/>
              </w:rPr>
            </w:pPr>
          </w:p>
        </w:tc>
        <w:tc>
          <w:tcPr>
            <w:tcW w:w="2817" w:type="pct"/>
            <w:gridSpan w:val="2"/>
            <w:vAlign w:val="center"/>
          </w:tcPr>
          <w:p w14:paraId="095D380A" w14:textId="77777777" w:rsidR="00D95D17" w:rsidRPr="006A6EA9" w:rsidRDefault="00D95D17" w:rsidP="0027224D">
            <w:pPr>
              <w:rPr>
                <w:rFonts w:ascii="Times New Roman" w:hAnsi="Times New Roman" w:cs="Times New Roman"/>
                <w:b/>
                <w:color w:val="0D0D0D" w:themeColor="text1" w:themeTint="F2"/>
              </w:rPr>
            </w:pPr>
            <w:r w:rsidRPr="006A6EA9">
              <w:rPr>
                <w:rFonts w:ascii="Times New Roman" w:hAnsi="Times New Roman" w:cs="Times New Roman"/>
                <w:b/>
                <w:color w:val="0D0D0D" w:themeColor="text1" w:themeTint="F2"/>
              </w:rPr>
              <w:t>Total</w:t>
            </w:r>
          </w:p>
        </w:tc>
        <w:tc>
          <w:tcPr>
            <w:tcW w:w="542" w:type="pct"/>
            <w:vAlign w:val="center"/>
          </w:tcPr>
          <w:p w14:paraId="583B80EB" w14:textId="77777777" w:rsidR="00D95D17" w:rsidRPr="006A6EA9" w:rsidRDefault="00D95D17" w:rsidP="007E2212">
            <w:pPr>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164</w:t>
            </w:r>
          </w:p>
        </w:tc>
        <w:tc>
          <w:tcPr>
            <w:tcW w:w="463" w:type="pct"/>
            <w:vAlign w:val="center"/>
          </w:tcPr>
          <w:p w14:paraId="7DCD946E" w14:textId="77777777" w:rsidR="00D95D17" w:rsidRPr="006A6EA9" w:rsidRDefault="00D95D17" w:rsidP="007E2212">
            <w:pPr>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262</w:t>
            </w:r>
          </w:p>
        </w:tc>
        <w:tc>
          <w:tcPr>
            <w:tcW w:w="509" w:type="pct"/>
            <w:vAlign w:val="center"/>
          </w:tcPr>
          <w:p w14:paraId="52C430BA" w14:textId="77777777" w:rsidR="00D95D17" w:rsidRPr="006A6EA9" w:rsidRDefault="00D95D17" w:rsidP="007E2212">
            <w:pPr>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422</w:t>
            </w:r>
          </w:p>
        </w:tc>
        <w:tc>
          <w:tcPr>
            <w:tcW w:w="417" w:type="pct"/>
            <w:vAlign w:val="center"/>
          </w:tcPr>
          <w:p w14:paraId="4B8E37A5" w14:textId="77777777" w:rsidR="00D95D17" w:rsidRPr="006A6EA9" w:rsidRDefault="00D95D17" w:rsidP="007E2212">
            <w:pPr>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1361</w:t>
            </w:r>
          </w:p>
        </w:tc>
      </w:tr>
    </w:tbl>
    <w:p w14:paraId="44F2D2D4" w14:textId="4C9EB5FB" w:rsidR="006E5A74" w:rsidRPr="00283B27" w:rsidRDefault="00D95D17" w:rsidP="00D95D17">
      <w:pPr>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br w:type="page"/>
      </w:r>
      <w:r w:rsidR="006E5A74" w:rsidRPr="00283B27">
        <w:rPr>
          <w:rFonts w:ascii="Times New Roman" w:hAnsi="Times New Roman" w:cs="Times New Roman"/>
          <w:b/>
          <w:color w:val="0D0D0D" w:themeColor="text1" w:themeTint="F2"/>
          <w:sz w:val="24"/>
          <w:szCs w:val="24"/>
          <w:u w:val="single"/>
        </w:rPr>
        <w:lastRenderedPageBreak/>
        <w:t>Table S3</w:t>
      </w:r>
      <w:r w:rsidR="00283B27">
        <w:rPr>
          <w:rFonts w:ascii="Times New Roman" w:hAnsi="Times New Roman" w:cs="Times New Roman"/>
          <w:b/>
          <w:color w:val="0D0D0D" w:themeColor="text1" w:themeTint="F2"/>
          <w:sz w:val="24"/>
          <w:szCs w:val="24"/>
          <w:u w:val="single"/>
        </w:rPr>
        <w:t>:</w:t>
      </w:r>
      <w:r w:rsidR="006E5A74" w:rsidRPr="00283B27">
        <w:rPr>
          <w:rFonts w:ascii="Times New Roman" w:hAnsi="Times New Roman" w:cs="Times New Roman"/>
          <w:b/>
          <w:color w:val="0D0D0D" w:themeColor="text1" w:themeTint="F2"/>
          <w:sz w:val="24"/>
          <w:szCs w:val="24"/>
          <w:u w:val="single"/>
        </w:rPr>
        <w:t xml:space="preserve"> Excluded studies after screening the </w:t>
      </w:r>
      <w:r w:rsidR="003A2169" w:rsidRPr="00283B27">
        <w:rPr>
          <w:rFonts w:ascii="Times New Roman" w:hAnsi="Times New Roman" w:cs="Times New Roman"/>
          <w:b/>
          <w:color w:val="0D0D0D" w:themeColor="text1" w:themeTint="F2"/>
          <w:sz w:val="24"/>
          <w:szCs w:val="24"/>
          <w:u w:val="single"/>
        </w:rPr>
        <w:t>full-length</w:t>
      </w:r>
      <w:r w:rsidR="006E5A74" w:rsidRPr="00283B27">
        <w:rPr>
          <w:rFonts w:ascii="Times New Roman" w:hAnsi="Times New Roman" w:cs="Times New Roman"/>
          <w:b/>
          <w:color w:val="0D0D0D" w:themeColor="text1" w:themeTint="F2"/>
          <w:sz w:val="24"/>
          <w:szCs w:val="24"/>
          <w:u w:val="single"/>
        </w:rPr>
        <w:t xml:space="preserve"> paper</w:t>
      </w:r>
    </w:p>
    <w:tbl>
      <w:tblPr>
        <w:tblStyle w:val="TableGrid"/>
        <w:tblW w:w="10027" w:type="dxa"/>
        <w:tblLayout w:type="fixed"/>
        <w:tblLook w:val="04A0" w:firstRow="1" w:lastRow="0" w:firstColumn="1" w:lastColumn="0" w:noHBand="0" w:noVBand="1"/>
      </w:tblPr>
      <w:tblGrid>
        <w:gridCol w:w="585"/>
        <w:gridCol w:w="6502"/>
        <w:gridCol w:w="2940"/>
      </w:tblGrid>
      <w:tr w:rsidR="006E5A74" w:rsidRPr="00B81D1B" w14:paraId="44F2D2D8" w14:textId="77777777" w:rsidTr="008B5BFD">
        <w:trPr>
          <w:trHeight w:val="564"/>
        </w:trPr>
        <w:tc>
          <w:tcPr>
            <w:tcW w:w="585" w:type="dxa"/>
          </w:tcPr>
          <w:p w14:paraId="44F2D2D5" w14:textId="000F946C"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w:t>
            </w:r>
            <w:r w:rsidR="0014030B">
              <w:rPr>
                <w:rFonts w:ascii="Times New Roman" w:hAnsi="Times New Roman" w:cs="Times New Roman"/>
                <w:color w:val="0D0D0D" w:themeColor="text1" w:themeTint="F2"/>
                <w:sz w:val="24"/>
                <w:szCs w:val="24"/>
              </w:rPr>
              <w:t xml:space="preserve"> </w:t>
            </w:r>
            <w:r w:rsidRPr="00B81D1B">
              <w:rPr>
                <w:rFonts w:ascii="Times New Roman" w:hAnsi="Times New Roman" w:cs="Times New Roman"/>
                <w:color w:val="0D0D0D" w:themeColor="text1" w:themeTint="F2"/>
                <w:sz w:val="24"/>
                <w:szCs w:val="24"/>
              </w:rPr>
              <w:t>No</w:t>
            </w:r>
            <w:r w:rsidR="0014030B">
              <w:rPr>
                <w:rFonts w:ascii="Times New Roman" w:hAnsi="Times New Roman" w:cs="Times New Roman"/>
                <w:color w:val="0D0D0D" w:themeColor="text1" w:themeTint="F2"/>
                <w:sz w:val="24"/>
                <w:szCs w:val="24"/>
              </w:rPr>
              <w:t>.</w:t>
            </w:r>
          </w:p>
        </w:tc>
        <w:tc>
          <w:tcPr>
            <w:tcW w:w="6502" w:type="dxa"/>
          </w:tcPr>
          <w:p w14:paraId="44F2D2D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Excluded study</w:t>
            </w:r>
          </w:p>
        </w:tc>
        <w:tc>
          <w:tcPr>
            <w:tcW w:w="2940" w:type="dxa"/>
          </w:tcPr>
          <w:p w14:paraId="44F2D2D7"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Reason of exclusion</w:t>
            </w:r>
          </w:p>
        </w:tc>
      </w:tr>
      <w:tr w:rsidR="006E5A74" w:rsidRPr="00B81D1B" w14:paraId="44F2D2DC" w14:textId="77777777" w:rsidTr="008B5BFD">
        <w:trPr>
          <w:trHeight w:val="355"/>
        </w:trPr>
        <w:tc>
          <w:tcPr>
            <w:tcW w:w="585" w:type="dxa"/>
          </w:tcPr>
          <w:p w14:paraId="44F2D2D9"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w:t>
            </w:r>
          </w:p>
        </w:tc>
        <w:tc>
          <w:tcPr>
            <w:tcW w:w="6502" w:type="dxa"/>
          </w:tcPr>
          <w:p w14:paraId="44F2D2DA"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Gencer EB, Ural AU, Avcu F, Baran Y. A novel mechanism of dasatinib-induced apoptosis in chronic myeloid leukemia; ceramide synthase and ceramide clearance genes. Ann Hematol. 2011 Nov;90(11):1265–75.</w:t>
            </w:r>
          </w:p>
        </w:tc>
        <w:tc>
          <w:tcPr>
            <w:tcW w:w="2940" w:type="dxa"/>
          </w:tcPr>
          <w:p w14:paraId="44F2D2DB"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2E0" w14:textId="77777777" w:rsidTr="008B5BFD">
        <w:trPr>
          <w:trHeight w:val="355"/>
        </w:trPr>
        <w:tc>
          <w:tcPr>
            <w:tcW w:w="585" w:type="dxa"/>
          </w:tcPr>
          <w:p w14:paraId="44F2D2DD"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p>
        </w:tc>
        <w:tc>
          <w:tcPr>
            <w:tcW w:w="6502" w:type="dxa"/>
          </w:tcPr>
          <w:p w14:paraId="44F2D2DE"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Paugh SW, Paugh BS, Rahmani M, Kapitonov D, Almenara JA, Kordula T, et al. A selective sphingosine kinase 1 inhibitor integrates multiple molecular therapeutic targets in human leukemia. Blood. 2008 Aug 15;112(4):1382–91.</w:t>
            </w:r>
          </w:p>
        </w:tc>
        <w:tc>
          <w:tcPr>
            <w:tcW w:w="2940" w:type="dxa"/>
          </w:tcPr>
          <w:p w14:paraId="44F2D2DF"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from patient’s sample</w:t>
            </w:r>
          </w:p>
        </w:tc>
      </w:tr>
      <w:tr w:rsidR="006E5A74" w:rsidRPr="00B81D1B" w14:paraId="44F2D2E4" w14:textId="77777777" w:rsidTr="008B5BFD">
        <w:trPr>
          <w:trHeight w:val="355"/>
        </w:trPr>
        <w:tc>
          <w:tcPr>
            <w:tcW w:w="585" w:type="dxa"/>
          </w:tcPr>
          <w:p w14:paraId="44F2D2E1"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w:t>
            </w:r>
          </w:p>
        </w:tc>
        <w:tc>
          <w:tcPr>
            <w:tcW w:w="6502" w:type="dxa"/>
          </w:tcPr>
          <w:p w14:paraId="44F2D2E2"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 Q-F, Wu C-T, Duan H-F, Sun H-Y, Wang H, Lu Z-Z, et al. Activation of sphingosine kinase mediates suppressive effect of interleukin-6 on human multiple myeloma cell apoptosis. Br J Haematol. 2007 Sep;138(5):632–9.</w:t>
            </w:r>
          </w:p>
        </w:tc>
        <w:tc>
          <w:tcPr>
            <w:tcW w:w="2940" w:type="dxa"/>
          </w:tcPr>
          <w:p w14:paraId="44F2D2E3"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 comparison with healthy participants</w:t>
            </w:r>
          </w:p>
        </w:tc>
      </w:tr>
      <w:tr w:rsidR="006E5A74" w:rsidRPr="00B81D1B" w14:paraId="44F2D2EC" w14:textId="77777777" w:rsidTr="008B5BFD">
        <w:trPr>
          <w:trHeight w:val="378"/>
        </w:trPr>
        <w:tc>
          <w:tcPr>
            <w:tcW w:w="585" w:type="dxa"/>
          </w:tcPr>
          <w:p w14:paraId="44F2D2E9" w14:textId="4C22A919" w:rsidR="006E5A74" w:rsidRPr="00B81D1B" w:rsidRDefault="00870363"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w:t>
            </w:r>
          </w:p>
        </w:tc>
        <w:tc>
          <w:tcPr>
            <w:tcW w:w="6502" w:type="dxa"/>
          </w:tcPr>
          <w:p w14:paraId="44F2D2EA"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Evangelisti C, Evangelisti C, Teti G, Falconi M, Cappellini A, Chiarini F, et al. Assessment of the effect of sphingosine kinase inhibitors on apoptosis, unfolded protein response and autophagy of T-acute lymphoblastic leukemia cells: Indications for novel therapeutics. Haematologica. 2014;99((Evangelisti C.; Teti G.; Falconi M.; Cappellini A.; Chiarini F.; Buontempo F.; Bressanin D.; Lonetti A.; Spartà A.; Martelli A.M.) Department of Biomedical and Neuromotor Sciences (DIBINEM), University of Bologna, Bologna, Italy):S83.</w:t>
            </w:r>
          </w:p>
        </w:tc>
        <w:tc>
          <w:tcPr>
            <w:tcW w:w="2940" w:type="dxa"/>
          </w:tcPr>
          <w:p w14:paraId="44F2D2EB" w14:textId="79568DED"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SphK1 </w:t>
            </w:r>
            <w:r w:rsidR="003A2169" w:rsidRPr="00B81D1B">
              <w:rPr>
                <w:rFonts w:ascii="Times New Roman" w:hAnsi="Times New Roman" w:cs="Times New Roman"/>
                <w:color w:val="0D0D0D" w:themeColor="text1" w:themeTint="F2"/>
                <w:sz w:val="24"/>
                <w:szCs w:val="24"/>
              </w:rPr>
              <w:t>activity is</w:t>
            </w:r>
            <w:r w:rsidRPr="00B81D1B">
              <w:rPr>
                <w:rFonts w:ascii="Times New Roman" w:hAnsi="Times New Roman" w:cs="Times New Roman"/>
                <w:color w:val="0D0D0D" w:themeColor="text1" w:themeTint="F2"/>
                <w:sz w:val="24"/>
                <w:szCs w:val="24"/>
              </w:rPr>
              <w:t xml:space="preserve"> not reported</w:t>
            </w:r>
          </w:p>
        </w:tc>
      </w:tr>
      <w:tr w:rsidR="006E5A74" w:rsidRPr="00B81D1B" w14:paraId="44F2D2F8" w14:textId="77777777" w:rsidTr="008B5BFD">
        <w:trPr>
          <w:trHeight w:val="355"/>
        </w:trPr>
        <w:tc>
          <w:tcPr>
            <w:tcW w:w="585" w:type="dxa"/>
          </w:tcPr>
          <w:p w14:paraId="44F2D2F5" w14:textId="73113D56" w:rsidR="006E5A74" w:rsidRPr="00B81D1B" w:rsidRDefault="0063501A"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5</w:t>
            </w:r>
          </w:p>
        </w:tc>
        <w:tc>
          <w:tcPr>
            <w:tcW w:w="6502" w:type="dxa"/>
          </w:tcPr>
          <w:p w14:paraId="44F2D2F6" w14:textId="05DA5363"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Baran Y, Kartal M, Cakir Z, Saydam G, Sahin F. Ceramides regulate resveratrol-induced apoptosis in human acute promyelocytic and chronic myeloid leukemia cells. Haematologica. 2010;95((Baran Y.; Cakir Z.) Izmir Institute of Technology, Faculty of Science, Dept.</w:t>
            </w:r>
            <w:r w:rsidR="00D2116C">
              <w:rPr>
                <w:rFonts w:ascii="Times New Roman" w:eastAsia="Times New Roman" w:hAnsi="Times New Roman" w:cs="Times New Roman"/>
                <w:color w:val="0D0D0D" w:themeColor="text1" w:themeTint="F2"/>
                <w:sz w:val="24"/>
                <w:szCs w:val="24"/>
              </w:rPr>
              <w:t xml:space="preserve"> </w:t>
            </w:r>
            <w:r w:rsidRPr="00B81D1B">
              <w:rPr>
                <w:rFonts w:ascii="Times New Roman" w:eastAsia="Times New Roman" w:hAnsi="Times New Roman" w:cs="Times New Roman"/>
                <w:color w:val="0D0D0D" w:themeColor="text1" w:themeTint="F2"/>
                <w:sz w:val="24"/>
                <w:szCs w:val="24"/>
              </w:rPr>
              <w:t>of</w:t>
            </w:r>
            <w:r w:rsidR="00D2116C">
              <w:rPr>
                <w:rFonts w:ascii="Times New Roman" w:eastAsia="Times New Roman" w:hAnsi="Times New Roman" w:cs="Times New Roman"/>
                <w:color w:val="0D0D0D" w:themeColor="text1" w:themeTint="F2"/>
                <w:sz w:val="24"/>
                <w:szCs w:val="24"/>
              </w:rPr>
              <w:t xml:space="preserve"> </w:t>
            </w:r>
            <w:r w:rsidRPr="00B81D1B">
              <w:rPr>
                <w:rFonts w:ascii="Times New Roman" w:eastAsia="Times New Roman" w:hAnsi="Times New Roman" w:cs="Times New Roman"/>
                <w:color w:val="0D0D0D" w:themeColor="text1" w:themeTint="F2"/>
                <w:sz w:val="24"/>
                <w:szCs w:val="24"/>
              </w:rPr>
              <w:t>Mol.</w:t>
            </w:r>
            <w:r w:rsidR="00D2116C">
              <w:rPr>
                <w:rFonts w:ascii="Times New Roman" w:eastAsia="Times New Roman" w:hAnsi="Times New Roman" w:cs="Times New Roman"/>
                <w:color w:val="0D0D0D" w:themeColor="text1" w:themeTint="F2"/>
                <w:sz w:val="24"/>
                <w:szCs w:val="24"/>
              </w:rPr>
              <w:t xml:space="preserve"> </w:t>
            </w:r>
            <w:r w:rsidRPr="00B81D1B">
              <w:rPr>
                <w:rFonts w:ascii="Times New Roman" w:eastAsia="Times New Roman" w:hAnsi="Times New Roman" w:cs="Times New Roman"/>
                <w:color w:val="0D0D0D" w:themeColor="text1" w:themeTint="F2"/>
                <w:sz w:val="24"/>
                <w:szCs w:val="24"/>
              </w:rPr>
              <w:t>Biol. and Genetics, Urla Izmir, Turkey):686–7.</w:t>
            </w:r>
          </w:p>
        </w:tc>
        <w:tc>
          <w:tcPr>
            <w:tcW w:w="2940" w:type="dxa"/>
          </w:tcPr>
          <w:p w14:paraId="44F2D2F7" w14:textId="6DFF47D3"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Full </w:t>
            </w:r>
            <w:r w:rsidR="00601CF9" w:rsidRPr="00B81D1B">
              <w:rPr>
                <w:rFonts w:ascii="Times New Roman" w:hAnsi="Times New Roman" w:cs="Times New Roman"/>
                <w:color w:val="0D0D0D" w:themeColor="text1" w:themeTint="F2"/>
                <w:sz w:val="24"/>
                <w:szCs w:val="24"/>
              </w:rPr>
              <w:t>text</w:t>
            </w:r>
            <w:r w:rsidR="00122A50" w:rsidRPr="00B81D1B">
              <w:rPr>
                <w:rFonts w:ascii="Times New Roman" w:hAnsi="Times New Roman" w:cs="Times New Roman"/>
                <w:color w:val="0D0D0D" w:themeColor="text1" w:themeTint="F2"/>
                <w:sz w:val="24"/>
                <w:szCs w:val="24"/>
              </w:rPr>
              <w:t xml:space="preserve"> paper</w:t>
            </w:r>
            <w:r w:rsidRPr="00B81D1B">
              <w:rPr>
                <w:rFonts w:ascii="Times New Roman" w:hAnsi="Times New Roman" w:cs="Times New Roman"/>
                <w:color w:val="0D0D0D" w:themeColor="text1" w:themeTint="F2"/>
                <w:sz w:val="24"/>
                <w:szCs w:val="24"/>
              </w:rPr>
              <w:t xml:space="preserve"> not available</w:t>
            </w:r>
          </w:p>
        </w:tc>
      </w:tr>
      <w:tr w:rsidR="006E5A74" w:rsidRPr="00B81D1B" w14:paraId="44F2D300" w14:textId="77777777" w:rsidTr="008B5BFD">
        <w:trPr>
          <w:trHeight w:val="378"/>
        </w:trPr>
        <w:tc>
          <w:tcPr>
            <w:tcW w:w="585" w:type="dxa"/>
          </w:tcPr>
          <w:p w14:paraId="44F2D2FD" w14:textId="3FDD02A7" w:rsidR="006E5A74" w:rsidRPr="00B81D1B" w:rsidRDefault="005467C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6</w:t>
            </w:r>
          </w:p>
        </w:tc>
        <w:tc>
          <w:tcPr>
            <w:tcW w:w="6502" w:type="dxa"/>
          </w:tcPr>
          <w:p w14:paraId="44F2D2FE"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 Y, Gao Y, Liang B, Nie W, Zhao L, Wang L. Combined effects on leukemia cell growth by targeting sphingosine kinase 1 and sirtuin 1 signaling. Exp Ther Med. 2020 Dec;20(6):262.</w:t>
            </w:r>
          </w:p>
        </w:tc>
        <w:tc>
          <w:tcPr>
            <w:tcW w:w="2940" w:type="dxa"/>
          </w:tcPr>
          <w:p w14:paraId="44F2D2FF"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04" w14:textId="77777777" w:rsidTr="008B5BFD">
        <w:trPr>
          <w:trHeight w:val="378"/>
        </w:trPr>
        <w:tc>
          <w:tcPr>
            <w:tcW w:w="585" w:type="dxa"/>
          </w:tcPr>
          <w:p w14:paraId="44F2D301" w14:textId="3F715F0B" w:rsidR="006E5A74" w:rsidRPr="00B81D1B" w:rsidRDefault="00413CF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7</w:t>
            </w:r>
          </w:p>
        </w:tc>
        <w:tc>
          <w:tcPr>
            <w:tcW w:w="6502" w:type="dxa"/>
          </w:tcPr>
          <w:p w14:paraId="44F2D302"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Xu L, Zhang Y, Gao M, Wang G, Fu Y. Concurrent targeting Akt and sphingosine kinase 1 by A-674563 in acute myeloid leukemia cells. Biochem Biophys Res Commun. 2016 Apr 15;472(4):662–8.</w:t>
            </w:r>
          </w:p>
        </w:tc>
        <w:tc>
          <w:tcPr>
            <w:tcW w:w="2940" w:type="dxa"/>
          </w:tcPr>
          <w:p w14:paraId="44F2D303" w14:textId="73DAEDFF"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(is reported after the treatment of drugs)</w:t>
            </w:r>
          </w:p>
        </w:tc>
      </w:tr>
      <w:tr w:rsidR="006E5A74" w:rsidRPr="00B81D1B" w14:paraId="44F2D308" w14:textId="77777777" w:rsidTr="008B5BFD">
        <w:trPr>
          <w:trHeight w:val="355"/>
        </w:trPr>
        <w:tc>
          <w:tcPr>
            <w:tcW w:w="585" w:type="dxa"/>
          </w:tcPr>
          <w:p w14:paraId="44F2D305" w14:textId="151DF006" w:rsidR="006E5A74" w:rsidRPr="00B81D1B" w:rsidRDefault="00413CF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8</w:t>
            </w:r>
          </w:p>
        </w:tc>
        <w:tc>
          <w:tcPr>
            <w:tcW w:w="6502" w:type="dxa"/>
          </w:tcPr>
          <w:p w14:paraId="44F2D306"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 xml:space="preserve">Beider K, Rosenberg E, Bitner H, Leiba M, Koren-Michowitz M, Abraham M, et al. Cross-talk between sphingosine 1-phosphate (S1P) and CXCR4/CXCL12 regulates viability, supports CXCR4-dependent cell motility and defines the sensitivity to FTY720 in multiple myeloma. Haematologica. 2014;99((Beider K.; Rosenberg E.; Bitner H.; Leiba M.; Koren-Michowitz M.; Shimoni A.; Nagler A.) Hematology Division, Bone Marrow Transplantation, Guy Weinshtock Multiple </w:t>
            </w:r>
            <w:r w:rsidRPr="00B81D1B">
              <w:rPr>
                <w:rFonts w:ascii="Times New Roman" w:eastAsia="Times New Roman" w:hAnsi="Times New Roman" w:cs="Times New Roman"/>
                <w:color w:val="0D0D0D" w:themeColor="text1" w:themeTint="F2"/>
                <w:sz w:val="24"/>
                <w:szCs w:val="24"/>
              </w:rPr>
              <w:lastRenderedPageBreak/>
              <w:t>Myeloma Foundation, Sheba Medical Center, Ramat-Gan, Israel):248.</w:t>
            </w:r>
          </w:p>
        </w:tc>
        <w:tc>
          <w:tcPr>
            <w:tcW w:w="2940" w:type="dxa"/>
          </w:tcPr>
          <w:p w14:paraId="44F2D307" w14:textId="44744C93"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lastRenderedPageBreak/>
              <w:t xml:space="preserve">Full </w:t>
            </w:r>
            <w:r w:rsidR="00601CF9" w:rsidRPr="00B81D1B">
              <w:rPr>
                <w:rFonts w:ascii="Times New Roman" w:hAnsi="Times New Roman" w:cs="Times New Roman"/>
                <w:color w:val="0D0D0D" w:themeColor="text1" w:themeTint="F2"/>
                <w:sz w:val="24"/>
                <w:szCs w:val="24"/>
              </w:rPr>
              <w:t>text</w:t>
            </w:r>
            <w:r w:rsidR="00122A50" w:rsidRPr="00B81D1B">
              <w:rPr>
                <w:rFonts w:ascii="Times New Roman" w:hAnsi="Times New Roman" w:cs="Times New Roman"/>
                <w:color w:val="0D0D0D" w:themeColor="text1" w:themeTint="F2"/>
                <w:sz w:val="24"/>
                <w:szCs w:val="24"/>
              </w:rPr>
              <w:t xml:space="preserve"> paper </w:t>
            </w:r>
            <w:r w:rsidRPr="00B81D1B">
              <w:rPr>
                <w:rFonts w:ascii="Times New Roman" w:hAnsi="Times New Roman" w:cs="Times New Roman"/>
                <w:color w:val="0D0D0D" w:themeColor="text1" w:themeTint="F2"/>
                <w:sz w:val="24"/>
                <w:szCs w:val="24"/>
              </w:rPr>
              <w:t>not available</w:t>
            </w:r>
          </w:p>
        </w:tc>
      </w:tr>
      <w:tr w:rsidR="006E5A74" w:rsidRPr="00B81D1B" w14:paraId="44F2D314" w14:textId="77777777" w:rsidTr="008B5BFD">
        <w:trPr>
          <w:trHeight w:val="378"/>
        </w:trPr>
        <w:tc>
          <w:tcPr>
            <w:tcW w:w="585" w:type="dxa"/>
          </w:tcPr>
          <w:p w14:paraId="44F2D311" w14:textId="12E97EF9" w:rsidR="006E5A74" w:rsidRPr="00B81D1B" w:rsidRDefault="00A463F3"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9</w:t>
            </w:r>
          </w:p>
        </w:tc>
        <w:tc>
          <w:tcPr>
            <w:tcW w:w="6502" w:type="dxa"/>
          </w:tcPr>
          <w:p w14:paraId="44F2D312"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KartalYandim M, Kozanoglu I, Ozdogu H, Piskin O, Ozcan MA, Saydam G, et al. Discovering alternative targets in chronic myeloid leukemia (CML): Determination of expression levels of bioactive sphingolipid genes in newly diagnosed and drug-resistant CML patients. Haematologica. 2015;100((KartalYandim M.; Baran Y.) Molecular Biology and Genetics, Izmir Institute of Technology, Izmir, Turkey):432.</w:t>
            </w:r>
          </w:p>
        </w:tc>
        <w:tc>
          <w:tcPr>
            <w:tcW w:w="2940" w:type="dxa"/>
          </w:tcPr>
          <w:p w14:paraId="44F2D313"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Conference Abstract</w:t>
            </w:r>
          </w:p>
        </w:tc>
      </w:tr>
      <w:tr w:rsidR="006E5A74" w:rsidRPr="00B81D1B" w14:paraId="44F2D318" w14:textId="77777777" w:rsidTr="008B5BFD">
        <w:trPr>
          <w:trHeight w:val="378"/>
        </w:trPr>
        <w:tc>
          <w:tcPr>
            <w:tcW w:w="585" w:type="dxa"/>
          </w:tcPr>
          <w:p w14:paraId="44F2D315" w14:textId="28AE6A66"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w:t>
            </w:r>
            <w:r w:rsidR="00A463F3" w:rsidRPr="00B81D1B">
              <w:rPr>
                <w:rFonts w:ascii="Times New Roman" w:hAnsi="Times New Roman" w:cs="Times New Roman"/>
                <w:color w:val="0D0D0D" w:themeColor="text1" w:themeTint="F2"/>
                <w:sz w:val="24"/>
                <w:szCs w:val="24"/>
              </w:rPr>
              <w:t>0</w:t>
            </w:r>
          </w:p>
        </w:tc>
        <w:tc>
          <w:tcPr>
            <w:tcW w:w="6502" w:type="dxa"/>
          </w:tcPr>
          <w:p w14:paraId="44F2D31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Lewis AC, D’Andrea R, Powell JA, Pitson SM. Dual sphingosine kinase and BCL-2 inhibition exhibits synergistic cell death in acute myeloid leukemia. Blood [Internet]. 2017;130((Lewis A.C.) Centre for Cancer Biology, SA Pathology, University of South Australia, Australia). Available from: </w:t>
            </w:r>
            <w:hyperlink r:id="rId5" w:history="1">
              <w:r w:rsidRPr="00B81D1B">
                <w:rPr>
                  <w:rStyle w:val="Hyperlink"/>
                  <w:rFonts w:ascii="Times New Roman" w:hAnsi="Times New Roman" w:cs="Times New Roman"/>
                  <w:color w:val="0D0D0D" w:themeColor="text1" w:themeTint="F2"/>
                  <w:sz w:val="24"/>
                  <w:szCs w:val="24"/>
                </w:rPr>
                <w:t>https://www.embase.com/search/results?subaction=viewrecord&amp;id=L620385243&amp;from=export</w:t>
              </w:r>
            </w:hyperlink>
          </w:p>
        </w:tc>
        <w:tc>
          <w:tcPr>
            <w:tcW w:w="2940" w:type="dxa"/>
          </w:tcPr>
          <w:p w14:paraId="44F2D317"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Poster </w:t>
            </w:r>
          </w:p>
        </w:tc>
      </w:tr>
      <w:tr w:rsidR="006E5A74" w:rsidRPr="00B81D1B" w14:paraId="44F2D31D" w14:textId="77777777" w:rsidTr="008B5BFD">
        <w:trPr>
          <w:trHeight w:val="378"/>
        </w:trPr>
        <w:tc>
          <w:tcPr>
            <w:tcW w:w="585" w:type="dxa"/>
          </w:tcPr>
          <w:p w14:paraId="44F2D319" w14:textId="70B07AB5"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w:t>
            </w:r>
            <w:r w:rsidR="002D480C" w:rsidRPr="00B81D1B">
              <w:rPr>
                <w:rFonts w:ascii="Times New Roman" w:hAnsi="Times New Roman" w:cs="Times New Roman"/>
                <w:color w:val="0D0D0D" w:themeColor="text1" w:themeTint="F2"/>
                <w:sz w:val="24"/>
                <w:szCs w:val="24"/>
              </w:rPr>
              <w:t>1</w:t>
            </w:r>
          </w:p>
        </w:tc>
        <w:tc>
          <w:tcPr>
            <w:tcW w:w="6502" w:type="dxa"/>
          </w:tcPr>
          <w:p w14:paraId="44F2D31A"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Brown TJ, Barth B, Claxton DF. Enhancing ceramide cytotoxicity in acute Myelogenous Leukemia. Blood [Internet]. 2012;120(21).Available from: </w:t>
            </w:r>
          </w:p>
          <w:p w14:paraId="44F2D31B" w14:textId="77777777" w:rsidR="006E5A74" w:rsidRPr="00B81D1B" w:rsidRDefault="00000000" w:rsidP="0083237C">
            <w:pPr>
              <w:jc w:val="both"/>
              <w:rPr>
                <w:rFonts w:ascii="Times New Roman" w:hAnsi="Times New Roman" w:cs="Times New Roman"/>
                <w:color w:val="0D0D0D" w:themeColor="text1" w:themeTint="F2"/>
                <w:sz w:val="24"/>
                <w:szCs w:val="24"/>
              </w:rPr>
            </w:pPr>
            <w:hyperlink r:id="rId6" w:history="1">
              <w:r w:rsidR="006E5A74" w:rsidRPr="00B81D1B">
                <w:rPr>
                  <w:rStyle w:val="Hyperlink"/>
                  <w:rFonts w:ascii="Times New Roman" w:hAnsi="Times New Roman" w:cs="Times New Roman"/>
                  <w:color w:val="0D0D0D" w:themeColor="text1" w:themeTint="F2"/>
                  <w:sz w:val="24"/>
                  <w:szCs w:val="24"/>
                </w:rPr>
                <w:t>https://www.embase.com/search/results?subaction=viewrecord&amp;id=L70961817&amp;from=export</w:t>
              </w:r>
            </w:hyperlink>
          </w:p>
        </w:tc>
        <w:tc>
          <w:tcPr>
            <w:tcW w:w="2940" w:type="dxa"/>
          </w:tcPr>
          <w:p w14:paraId="44F2D31C" w14:textId="6881AD3B"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Full </w:t>
            </w:r>
            <w:r w:rsidR="00AF58D3" w:rsidRPr="00B81D1B">
              <w:rPr>
                <w:rFonts w:ascii="Times New Roman" w:hAnsi="Times New Roman" w:cs="Times New Roman"/>
                <w:color w:val="0D0D0D" w:themeColor="text1" w:themeTint="F2"/>
                <w:sz w:val="24"/>
                <w:szCs w:val="24"/>
              </w:rPr>
              <w:t>text</w:t>
            </w:r>
            <w:r w:rsidR="002E0748" w:rsidRPr="00B81D1B">
              <w:rPr>
                <w:rFonts w:ascii="Times New Roman" w:hAnsi="Times New Roman" w:cs="Times New Roman"/>
                <w:color w:val="0D0D0D" w:themeColor="text1" w:themeTint="F2"/>
                <w:sz w:val="24"/>
                <w:szCs w:val="24"/>
              </w:rPr>
              <w:t xml:space="preserve"> paper not available</w:t>
            </w:r>
          </w:p>
        </w:tc>
      </w:tr>
      <w:tr w:rsidR="006E5A74" w:rsidRPr="00B81D1B" w14:paraId="44F2D322" w14:textId="77777777" w:rsidTr="008B5BFD">
        <w:trPr>
          <w:trHeight w:val="378"/>
        </w:trPr>
        <w:tc>
          <w:tcPr>
            <w:tcW w:w="585" w:type="dxa"/>
          </w:tcPr>
          <w:p w14:paraId="44F2D31E" w14:textId="6BC18CF1"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w:t>
            </w:r>
            <w:r w:rsidR="00777E0F" w:rsidRPr="00B81D1B">
              <w:rPr>
                <w:rFonts w:ascii="Times New Roman" w:hAnsi="Times New Roman" w:cs="Times New Roman"/>
                <w:color w:val="0D0D0D" w:themeColor="text1" w:themeTint="F2"/>
                <w:sz w:val="24"/>
                <w:szCs w:val="24"/>
              </w:rPr>
              <w:t>2</w:t>
            </w:r>
          </w:p>
        </w:tc>
        <w:tc>
          <w:tcPr>
            <w:tcW w:w="6502" w:type="dxa"/>
          </w:tcPr>
          <w:p w14:paraId="44F2D31F"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Wallington-Beddoe CT, Pitson SM, Powell JA, Bradstock KF, Bendall LJ. Evaluation of sphingosine kinase 1 as a therapeutic target in B-lineage acute lymphoblastic leukemia. Blood [Internet]. 2013;122(21). Available from: </w:t>
            </w:r>
          </w:p>
          <w:p w14:paraId="44F2D320" w14:textId="77777777" w:rsidR="006E5A74" w:rsidRPr="00B81D1B" w:rsidRDefault="00000000" w:rsidP="0083237C">
            <w:pPr>
              <w:jc w:val="both"/>
              <w:rPr>
                <w:rFonts w:ascii="Times New Roman" w:hAnsi="Times New Roman" w:cs="Times New Roman"/>
                <w:color w:val="0D0D0D" w:themeColor="text1" w:themeTint="F2"/>
                <w:sz w:val="24"/>
                <w:szCs w:val="24"/>
              </w:rPr>
            </w:pPr>
            <w:hyperlink r:id="rId7" w:history="1">
              <w:r w:rsidR="006E5A74" w:rsidRPr="00B81D1B">
                <w:rPr>
                  <w:rStyle w:val="Hyperlink"/>
                  <w:rFonts w:ascii="Times New Roman" w:hAnsi="Times New Roman" w:cs="Times New Roman"/>
                  <w:color w:val="0D0D0D" w:themeColor="text1" w:themeTint="F2"/>
                  <w:sz w:val="24"/>
                  <w:szCs w:val="24"/>
                </w:rPr>
                <w:t>https://www.embase.com/search/results?subaction=viewrecord&amp;id=L71265032&amp;from=export</w:t>
              </w:r>
            </w:hyperlink>
          </w:p>
        </w:tc>
        <w:tc>
          <w:tcPr>
            <w:tcW w:w="2940" w:type="dxa"/>
          </w:tcPr>
          <w:p w14:paraId="44F2D321"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Poster </w:t>
            </w:r>
          </w:p>
        </w:tc>
      </w:tr>
      <w:tr w:rsidR="006E5A74" w:rsidRPr="00B81D1B" w14:paraId="44F2D326" w14:textId="77777777" w:rsidTr="008B5BFD">
        <w:trPr>
          <w:trHeight w:val="378"/>
        </w:trPr>
        <w:tc>
          <w:tcPr>
            <w:tcW w:w="585" w:type="dxa"/>
          </w:tcPr>
          <w:p w14:paraId="44F2D323" w14:textId="35526486"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w:t>
            </w:r>
            <w:r w:rsidR="00777E0F" w:rsidRPr="00B81D1B">
              <w:rPr>
                <w:rFonts w:ascii="Times New Roman" w:hAnsi="Times New Roman" w:cs="Times New Roman"/>
                <w:color w:val="0D0D0D" w:themeColor="text1" w:themeTint="F2"/>
                <w:sz w:val="24"/>
                <w:szCs w:val="24"/>
              </w:rPr>
              <w:t>3</w:t>
            </w:r>
          </w:p>
        </w:tc>
        <w:tc>
          <w:tcPr>
            <w:tcW w:w="6502" w:type="dxa"/>
          </w:tcPr>
          <w:p w14:paraId="44F2D324" w14:textId="23BDBEAE"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KartalYandim M, Kozanoglu I, Ozdogu H, Piskin O, Ozcan MA, Saydam G, et al. Expression levels of ceramide-generating and clearance genes in newly diagnosed and tyrosine kinase inhibitor</w:t>
            </w:r>
            <w:r w:rsidR="00D2116C">
              <w:rPr>
                <w:rFonts w:ascii="Times New Roman" w:eastAsia="Times New Roman" w:hAnsi="Times New Roman" w:cs="Times New Roman"/>
                <w:color w:val="0D0D0D" w:themeColor="text1" w:themeTint="F2"/>
                <w:sz w:val="24"/>
                <w:szCs w:val="24"/>
              </w:rPr>
              <w:t xml:space="preserve"> </w:t>
            </w:r>
            <w:r w:rsidRPr="00B81D1B">
              <w:rPr>
                <w:rFonts w:ascii="Times New Roman" w:eastAsia="Times New Roman" w:hAnsi="Times New Roman" w:cs="Times New Roman"/>
                <w:color w:val="0D0D0D" w:themeColor="text1" w:themeTint="F2"/>
                <w:sz w:val="24"/>
                <w:szCs w:val="24"/>
              </w:rPr>
              <w:t>resistant chronic myeloid leukemia patients: An attempt to find novel targets. Haematologica. 2014;99((KartalYandim M.; Baran Y.) Molecular Biology and Genetics, Izmir Institute of Technology, Izmir, Turkey):69–70.</w:t>
            </w:r>
          </w:p>
        </w:tc>
        <w:tc>
          <w:tcPr>
            <w:tcW w:w="2940" w:type="dxa"/>
          </w:tcPr>
          <w:p w14:paraId="44F2D325" w14:textId="713A4448" w:rsidR="006E5A74" w:rsidRPr="00B81D1B" w:rsidRDefault="001217A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F</w:t>
            </w:r>
            <w:r w:rsidR="006E5A74" w:rsidRPr="00B81D1B">
              <w:rPr>
                <w:rFonts w:ascii="Times New Roman" w:hAnsi="Times New Roman" w:cs="Times New Roman"/>
                <w:color w:val="0D0D0D" w:themeColor="text1" w:themeTint="F2"/>
                <w:sz w:val="24"/>
                <w:szCs w:val="24"/>
              </w:rPr>
              <w:t xml:space="preserve">ull </w:t>
            </w:r>
            <w:r w:rsidR="00AF58D3" w:rsidRPr="00B81D1B">
              <w:rPr>
                <w:rFonts w:ascii="Times New Roman" w:hAnsi="Times New Roman" w:cs="Times New Roman"/>
                <w:color w:val="0D0D0D" w:themeColor="text1" w:themeTint="F2"/>
                <w:sz w:val="24"/>
                <w:szCs w:val="24"/>
              </w:rPr>
              <w:t>text</w:t>
            </w:r>
            <w:r w:rsidR="002E0748" w:rsidRPr="00B81D1B">
              <w:rPr>
                <w:rFonts w:ascii="Times New Roman" w:hAnsi="Times New Roman" w:cs="Times New Roman"/>
                <w:color w:val="0D0D0D" w:themeColor="text1" w:themeTint="F2"/>
                <w:sz w:val="24"/>
                <w:szCs w:val="24"/>
              </w:rPr>
              <w:t xml:space="preserve"> paper</w:t>
            </w:r>
            <w:r w:rsidR="006E5A74" w:rsidRPr="00B81D1B">
              <w:rPr>
                <w:rFonts w:ascii="Times New Roman" w:hAnsi="Times New Roman" w:cs="Times New Roman"/>
                <w:color w:val="0D0D0D" w:themeColor="text1" w:themeTint="F2"/>
                <w:sz w:val="24"/>
                <w:szCs w:val="24"/>
              </w:rPr>
              <w:t xml:space="preserve"> not available </w:t>
            </w:r>
          </w:p>
        </w:tc>
      </w:tr>
      <w:tr w:rsidR="006E5A74" w:rsidRPr="00B81D1B" w14:paraId="44F2D32A" w14:textId="77777777" w:rsidTr="008B5BFD">
        <w:trPr>
          <w:trHeight w:val="378"/>
        </w:trPr>
        <w:tc>
          <w:tcPr>
            <w:tcW w:w="585" w:type="dxa"/>
          </w:tcPr>
          <w:p w14:paraId="44F2D327" w14:textId="4A0BB42E" w:rsidR="006E5A74" w:rsidRPr="00B81D1B" w:rsidRDefault="00777E0F"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14</w:t>
            </w:r>
          </w:p>
        </w:tc>
        <w:tc>
          <w:tcPr>
            <w:tcW w:w="6502" w:type="dxa"/>
          </w:tcPr>
          <w:p w14:paraId="44F2D328" w14:textId="6A2EAA0F"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KartalYandim M, Kozanoglu I, Ozdogu H, Piskin O, Ozcan M, Saydam G, et al. Expression levels of ceramide-</w:t>
            </w:r>
            <w:r w:rsidR="00D2116C" w:rsidRPr="00B81D1B">
              <w:rPr>
                <w:rFonts w:ascii="Times New Roman" w:eastAsia="Times New Roman" w:hAnsi="Times New Roman" w:cs="Times New Roman"/>
                <w:color w:val="0D0D0D" w:themeColor="text1" w:themeTint="F2"/>
                <w:sz w:val="24"/>
                <w:szCs w:val="24"/>
              </w:rPr>
              <w:t>metaboli</w:t>
            </w:r>
            <w:r w:rsidR="00D2116C">
              <w:rPr>
                <w:rFonts w:ascii="Times New Roman" w:eastAsia="Times New Roman" w:hAnsi="Times New Roman" w:cs="Times New Roman"/>
                <w:color w:val="0D0D0D" w:themeColor="text1" w:themeTint="F2"/>
                <w:sz w:val="24"/>
                <w:szCs w:val="24"/>
              </w:rPr>
              <w:t>s</w:t>
            </w:r>
            <w:r w:rsidR="00D2116C" w:rsidRPr="00B81D1B">
              <w:rPr>
                <w:rFonts w:ascii="Times New Roman" w:eastAsia="Times New Roman" w:hAnsi="Times New Roman" w:cs="Times New Roman"/>
                <w:color w:val="0D0D0D" w:themeColor="text1" w:themeTint="F2"/>
                <w:sz w:val="24"/>
                <w:szCs w:val="24"/>
              </w:rPr>
              <w:t>ing</w:t>
            </w:r>
            <w:r w:rsidRPr="00B81D1B">
              <w:rPr>
                <w:rFonts w:ascii="Times New Roman" w:eastAsia="Times New Roman" w:hAnsi="Times New Roman" w:cs="Times New Roman"/>
                <w:color w:val="0D0D0D" w:themeColor="text1" w:themeTint="F2"/>
                <w:sz w:val="24"/>
                <w:szCs w:val="24"/>
              </w:rPr>
              <w:t xml:space="preserve"> genes in newly diagnosed and tyrosine kinase inhibitor-resistant chronic myeloid leukemia (CML) patients: The discovery of novel targets in CML. Leuk Res. 2014;38((KartalYandim M.; Baran Y.) Izmir Institute of Technology, Department of Molecular Biology and Genetics, Izmir, Turkey):S47.</w:t>
            </w:r>
          </w:p>
        </w:tc>
        <w:tc>
          <w:tcPr>
            <w:tcW w:w="2940" w:type="dxa"/>
          </w:tcPr>
          <w:p w14:paraId="44F2D329" w14:textId="42E6213C"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Duplication of study no. 1</w:t>
            </w:r>
            <w:r w:rsidR="00712724" w:rsidRPr="00B81D1B">
              <w:rPr>
                <w:rFonts w:ascii="Times New Roman" w:hAnsi="Times New Roman" w:cs="Times New Roman"/>
                <w:color w:val="0D0D0D" w:themeColor="text1" w:themeTint="F2"/>
                <w:sz w:val="24"/>
                <w:szCs w:val="24"/>
              </w:rPr>
              <w:t>3</w:t>
            </w:r>
          </w:p>
        </w:tc>
      </w:tr>
      <w:tr w:rsidR="006E5A74" w:rsidRPr="00B81D1B" w14:paraId="44F2D32F" w14:textId="77777777" w:rsidTr="008B5BFD">
        <w:trPr>
          <w:trHeight w:val="378"/>
        </w:trPr>
        <w:tc>
          <w:tcPr>
            <w:tcW w:w="585" w:type="dxa"/>
          </w:tcPr>
          <w:p w14:paraId="44F2D32B" w14:textId="52DDEDE4" w:rsidR="006E5A74" w:rsidRPr="00B81D1B" w:rsidRDefault="00366C8C"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15</w:t>
            </w:r>
          </w:p>
        </w:tc>
        <w:tc>
          <w:tcPr>
            <w:tcW w:w="6502" w:type="dxa"/>
          </w:tcPr>
          <w:p w14:paraId="44F2D32C"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 xml:space="preserve"> LeBlanc FR, Wang H-G, Feith DJ, Loughran Jr. TP. FTY720 (fingolimod) targets the sphingolipid pathway and induces autophagy-related apoptosis in human natural killer large granular lymphocyte leukemia. Blood. 2015;126(23):1288.</w:t>
            </w:r>
          </w:p>
        </w:tc>
        <w:tc>
          <w:tcPr>
            <w:tcW w:w="2940" w:type="dxa"/>
          </w:tcPr>
          <w:p w14:paraId="44F2D32D"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Poster</w:t>
            </w:r>
          </w:p>
          <w:p w14:paraId="44F2D32E" w14:textId="77777777" w:rsidR="006E5A74" w:rsidRPr="00B81D1B" w:rsidRDefault="006E5A74" w:rsidP="0083237C">
            <w:pPr>
              <w:jc w:val="both"/>
              <w:rPr>
                <w:rFonts w:ascii="Times New Roman" w:hAnsi="Times New Roman" w:cs="Times New Roman"/>
                <w:color w:val="0D0D0D" w:themeColor="text1" w:themeTint="F2"/>
                <w:sz w:val="24"/>
                <w:szCs w:val="24"/>
              </w:rPr>
            </w:pPr>
          </w:p>
        </w:tc>
      </w:tr>
      <w:tr w:rsidR="006E5A74" w:rsidRPr="00B81D1B" w14:paraId="44F2D333" w14:textId="77777777" w:rsidTr="008B5BFD">
        <w:trPr>
          <w:trHeight w:val="378"/>
        </w:trPr>
        <w:tc>
          <w:tcPr>
            <w:tcW w:w="585" w:type="dxa"/>
          </w:tcPr>
          <w:p w14:paraId="44F2D330" w14:textId="42517485" w:rsidR="006E5A74" w:rsidRPr="00B81D1B" w:rsidRDefault="00CE09E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lastRenderedPageBreak/>
              <w:t>16</w:t>
            </w:r>
          </w:p>
        </w:tc>
        <w:tc>
          <w:tcPr>
            <w:tcW w:w="6502" w:type="dxa"/>
          </w:tcPr>
          <w:p w14:paraId="44F2D331" w14:textId="1025BA40"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Petrusca DN, Park C, Crean C, Toscani D, Anderson J, Silbermann R, et al. Gfi1 modulation of SphK1 maintains growth and survival of myeloma cells. J Bone Miner Res. 2017;32((Petrusca D.N.) Indiana University, Department of Medicine/Hematology-Oncology, United States</w:t>
            </w:r>
            <w:r w:rsidR="003A2169" w:rsidRPr="00B81D1B">
              <w:rPr>
                <w:rFonts w:ascii="Times New Roman" w:eastAsia="Times New Roman" w:hAnsi="Times New Roman" w:cs="Times New Roman"/>
                <w:color w:val="0D0D0D" w:themeColor="text1" w:themeTint="F2"/>
                <w:sz w:val="24"/>
                <w:szCs w:val="24"/>
              </w:rPr>
              <w:t>): S</w:t>
            </w:r>
            <w:r w:rsidRPr="00B81D1B">
              <w:rPr>
                <w:rFonts w:ascii="Times New Roman" w:eastAsia="Times New Roman" w:hAnsi="Times New Roman" w:cs="Times New Roman"/>
                <w:color w:val="0D0D0D" w:themeColor="text1" w:themeTint="F2"/>
                <w:sz w:val="24"/>
                <w:szCs w:val="24"/>
              </w:rPr>
              <w:t>65.</w:t>
            </w:r>
          </w:p>
        </w:tc>
        <w:tc>
          <w:tcPr>
            <w:tcW w:w="2940" w:type="dxa"/>
          </w:tcPr>
          <w:p w14:paraId="44F2D332"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Abstract presentation at 2017 Annual Meeting of the</w:t>
            </w:r>
            <w:r w:rsidRPr="00B81D1B">
              <w:rPr>
                <w:rFonts w:ascii="Times New Roman" w:hAnsi="Times New Roman" w:cs="Times New Roman"/>
                <w:color w:val="0D0D0D" w:themeColor="text1" w:themeTint="F2"/>
                <w:sz w:val="24"/>
                <w:szCs w:val="24"/>
              </w:rPr>
              <w:br/>
              <w:t>American Society for Bone and Mineral Research</w:t>
            </w:r>
          </w:p>
        </w:tc>
      </w:tr>
      <w:tr w:rsidR="006E5A74" w:rsidRPr="00B81D1B" w14:paraId="44F2D338" w14:textId="77777777" w:rsidTr="008B5BFD">
        <w:trPr>
          <w:trHeight w:val="378"/>
        </w:trPr>
        <w:tc>
          <w:tcPr>
            <w:tcW w:w="585" w:type="dxa"/>
          </w:tcPr>
          <w:p w14:paraId="44F2D334" w14:textId="2A55A7BD" w:rsidR="006E5A74" w:rsidRPr="00B81D1B" w:rsidRDefault="00CE09E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17</w:t>
            </w:r>
          </w:p>
        </w:tc>
        <w:tc>
          <w:tcPr>
            <w:tcW w:w="6502" w:type="dxa"/>
          </w:tcPr>
          <w:p w14:paraId="44F2D335"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Toscani D, Park C, Wang F, Anderson J, Giuliani N, David Roodman G, et al. Gfi1 transcription factor is a pro-survival molecule in multiple myeloma cells. Blood [Internet]. 2016;128(22). Available from:  </w:t>
            </w:r>
          </w:p>
          <w:p w14:paraId="44F2D336" w14:textId="77777777" w:rsidR="006E5A74" w:rsidRPr="00B81D1B" w:rsidRDefault="00000000" w:rsidP="0083237C">
            <w:pPr>
              <w:jc w:val="both"/>
              <w:rPr>
                <w:rFonts w:ascii="Times New Roman" w:hAnsi="Times New Roman" w:cs="Times New Roman"/>
                <w:color w:val="0D0D0D" w:themeColor="text1" w:themeTint="F2"/>
                <w:sz w:val="24"/>
                <w:szCs w:val="24"/>
              </w:rPr>
            </w:pPr>
            <w:hyperlink r:id="rId8" w:history="1">
              <w:r w:rsidR="006E5A74" w:rsidRPr="00B81D1B">
                <w:rPr>
                  <w:rStyle w:val="Hyperlink"/>
                  <w:rFonts w:ascii="Times New Roman" w:hAnsi="Times New Roman" w:cs="Times New Roman"/>
                  <w:color w:val="0D0D0D" w:themeColor="text1" w:themeTint="F2"/>
                  <w:sz w:val="24"/>
                  <w:szCs w:val="24"/>
                </w:rPr>
                <w:t>https://www.embase.com/search/results?subaction=viewrecord&amp;id=L614309298&amp;from=export</w:t>
              </w:r>
            </w:hyperlink>
          </w:p>
        </w:tc>
        <w:tc>
          <w:tcPr>
            <w:tcW w:w="2940" w:type="dxa"/>
          </w:tcPr>
          <w:p w14:paraId="44F2D337"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Poster</w:t>
            </w:r>
          </w:p>
        </w:tc>
      </w:tr>
      <w:tr w:rsidR="006E5A74" w:rsidRPr="00B81D1B" w14:paraId="44F2D33C" w14:textId="77777777" w:rsidTr="008B5BFD">
        <w:trPr>
          <w:trHeight w:val="378"/>
        </w:trPr>
        <w:tc>
          <w:tcPr>
            <w:tcW w:w="585" w:type="dxa"/>
          </w:tcPr>
          <w:p w14:paraId="44F2D339" w14:textId="3EB618FF" w:rsidR="006E5A74" w:rsidRPr="00B81D1B" w:rsidRDefault="00DB3BA2"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18</w:t>
            </w:r>
          </w:p>
        </w:tc>
        <w:tc>
          <w:tcPr>
            <w:tcW w:w="6502" w:type="dxa"/>
          </w:tcPr>
          <w:p w14:paraId="44F2D33A"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Petrusca DN, Berdyshev E, Crean CD, Anderson JL, Roodman GD. GFI1-Dependent SGPP1 Repression Promotes Growth and Survival of Myeloma Cells. Blood. 2019;134((Petrusca D.N.; Crean C.D.; Anderson J.L.) Medicine/Hematology and Oncology, Indiana University School of Medicine, Indianapolis, IN, United States):4387</w:t>
            </w:r>
          </w:p>
        </w:tc>
        <w:tc>
          <w:tcPr>
            <w:tcW w:w="2940" w:type="dxa"/>
          </w:tcPr>
          <w:p w14:paraId="44F2D33B"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Annual meeting abstract</w:t>
            </w:r>
          </w:p>
        </w:tc>
      </w:tr>
      <w:tr w:rsidR="001015C8" w:rsidRPr="00B81D1B" w14:paraId="297080AB" w14:textId="77777777" w:rsidTr="008B5BFD">
        <w:trPr>
          <w:trHeight w:val="378"/>
        </w:trPr>
        <w:tc>
          <w:tcPr>
            <w:tcW w:w="585" w:type="dxa"/>
          </w:tcPr>
          <w:p w14:paraId="12E64E08" w14:textId="59880BEF" w:rsidR="001015C8" w:rsidRPr="00B81D1B" w:rsidRDefault="001015C8"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19</w:t>
            </w:r>
          </w:p>
        </w:tc>
        <w:tc>
          <w:tcPr>
            <w:tcW w:w="6502" w:type="dxa"/>
          </w:tcPr>
          <w:p w14:paraId="2FD97E70" w14:textId="4B5387C7" w:rsidR="001015C8" w:rsidRPr="00B81D1B" w:rsidRDefault="001015C8" w:rsidP="0083237C">
            <w:pPr>
              <w:jc w:val="both"/>
              <w:rPr>
                <w:rFonts w:ascii="Times New Roman" w:eastAsia="Times New Roman" w:hAnsi="Times New Roman" w:cs="Times New Roman"/>
                <w:sz w:val="24"/>
                <w:szCs w:val="24"/>
                <w:lang w:val="en-IN" w:eastAsia="en-IN"/>
              </w:rPr>
            </w:pPr>
            <w:r w:rsidRPr="00B81D1B">
              <w:rPr>
                <w:rFonts w:ascii="Times New Roman" w:eastAsia="Times New Roman" w:hAnsi="Times New Roman" w:cs="Times New Roman"/>
                <w:sz w:val="24"/>
                <w:szCs w:val="24"/>
                <w:lang w:val="en-IN" w:eastAsia="en-IN"/>
              </w:rPr>
              <w:t>Gao S, Guo T, Luo S, Zhang Y, Ren Z, Lang X, et al. Growth Inhibitory and Pro-Apoptotic Effects of Hirsuteine in Chronic Myeloid Leukemia Cells through Targeting Sphingosine Kinase 1. Biomol Ther. 2022;30(6):553–61.</w:t>
            </w:r>
          </w:p>
          <w:p w14:paraId="284C4407" w14:textId="77777777" w:rsidR="001015C8" w:rsidRPr="00B81D1B" w:rsidRDefault="001015C8" w:rsidP="0083237C">
            <w:pPr>
              <w:jc w:val="both"/>
              <w:rPr>
                <w:rFonts w:ascii="Times New Roman" w:eastAsia="Times New Roman" w:hAnsi="Times New Roman" w:cs="Times New Roman"/>
                <w:color w:val="0D0D0D" w:themeColor="text1" w:themeTint="F2"/>
                <w:sz w:val="24"/>
                <w:szCs w:val="24"/>
              </w:rPr>
            </w:pPr>
          </w:p>
        </w:tc>
        <w:tc>
          <w:tcPr>
            <w:tcW w:w="2940" w:type="dxa"/>
          </w:tcPr>
          <w:p w14:paraId="6CDFBC46" w14:textId="77777777" w:rsidR="001015C8" w:rsidRPr="00B81D1B" w:rsidRDefault="001015C8" w:rsidP="0083237C">
            <w:pPr>
              <w:jc w:val="both"/>
              <w:rPr>
                <w:rFonts w:ascii="Times New Roman" w:hAnsi="Times New Roman" w:cs="Times New Roman"/>
                <w:color w:val="0D0D0D" w:themeColor="text1" w:themeTint="F2"/>
                <w:sz w:val="24"/>
                <w:szCs w:val="24"/>
              </w:rPr>
            </w:pPr>
          </w:p>
          <w:p w14:paraId="10DA8016" w14:textId="5AF061A8" w:rsidR="000734B8" w:rsidRPr="00B81D1B" w:rsidRDefault="000734B8"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45" w14:textId="77777777" w:rsidTr="00D2116C">
        <w:trPr>
          <w:trHeight w:val="1537"/>
        </w:trPr>
        <w:tc>
          <w:tcPr>
            <w:tcW w:w="585" w:type="dxa"/>
          </w:tcPr>
          <w:p w14:paraId="44F2D342" w14:textId="2FBAA5C5"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185BCA" w:rsidRPr="00B81D1B">
              <w:rPr>
                <w:rFonts w:ascii="Times New Roman" w:hAnsi="Times New Roman" w:cs="Times New Roman"/>
                <w:color w:val="0D0D0D" w:themeColor="text1" w:themeTint="F2"/>
                <w:sz w:val="24"/>
                <w:szCs w:val="24"/>
              </w:rPr>
              <w:t>0</w:t>
            </w:r>
          </w:p>
        </w:tc>
        <w:tc>
          <w:tcPr>
            <w:tcW w:w="6502" w:type="dxa"/>
          </w:tcPr>
          <w:p w14:paraId="44F2D343"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Sobue S, Nemoto S, Murakami M, Ito H, Kimura A, Gao S, et al. Implications of sphingosine kinase 1 expression level for the cellular sphingolipid rheostat: relevance as a marker for daunorubicin sensitivity of leukemia cells. Int J Hematol. 2008 Apr;87(3):266–75.</w:t>
            </w:r>
          </w:p>
        </w:tc>
        <w:tc>
          <w:tcPr>
            <w:tcW w:w="2940" w:type="dxa"/>
          </w:tcPr>
          <w:p w14:paraId="44F2D344"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49" w14:textId="77777777" w:rsidTr="008B5BFD">
        <w:trPr>
          <w:trHeight w:val="378"/>
        </w:trPr>
        <w:tc>
          <w:tcPr>
            <w:tcW w:w="585" w:type="dxa"/>
          </w:tcPr>
          <w:p w14:paraId="44F2D346" w14:textId="7234F6A2"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682BA5" w:rsidRPr="00B81D1B">
              <w:rPr>
                <w:rFonts w:ascii="Times New Roman" w:hAnsi="Times New Roman" w:cs="Times New Roman"/>
                <w:color w:val="0D0D0D" w:themeColor="text1" w:themeTint="F2"/>
                <w:sz w:val="24"/>
                <w:szCs w:val="24"/>
              </w:rPr>
              <w:t>1</w:t>
            </w:r>
          </w:p>
        </w:tc>
        <w:tc>
          <w:tcPr>
            <w:tcW w:w="6502" w:type="dxa"/>
          </w:tcPr>
          <w:p w14:paraId="44F2D347"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Ricci C, Onida F, Servida F, Radaelli F, Saporiti G, Todoerti K, et al. In vitro anti-leukaemia activity of sphingosine kinase inhibitor. Br J Haematol. 2009 Feb;144(3):350–7.</w:t>
            </w:r>
          </w:p>
        </w:tc>
        <w:tc>
          <w:tcPr>
            <w:tcW w:w="2940" w:type="dxa"/>
          </w:tcPr>
          <w:p w14:paraId="44F2D348"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from patient’s sample</w:t>
            </w:r>
          </w:p>
        </w:tc>
      </w:tr>
      <w:tr w:rsidR="006E5A74" w:rsidRPr="00B81D1B" w14:paraId="44F2D35F" w14:textId="77777777" w:rsidTr="008B5BFD">
        <w:trPr>
          <w:trHeight w:val="378"/>
        </w:trPr>
        <w:tc>
          <w:tcPr>
            <w:tcW w:w="585" w:type="dxa"/>
          </w:tcPr>
          <w:p w14:paraId="44F2D35C" w14:textId="5D808E5B" w:rsidR="006E5A74" w:rsidRPr="00B81D1B" w:rsidRDefault="00545AC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22</w:t>
            </w:r>
          </w:p>
        </w:tc>
        <w:tc>
          <w:tcPr>
            <w:tcW w:w="6502" w:type="dxa"/>
          </w:tcPr>
          <w:p w14:paraId="44F2D35D"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Camgoz A, Gencer EB, Ural AU, Baran Y. Mechanisms responsible for nilotinib resistance in human chronic myeloid leukemia cells and reversal of resistance. Leuk Lymphoma. 2013 Jun;54(6):1279–87.</w:t>
            </w:r>
          </w:p>
        </w:tc>
        <w:tc>
          <w:tcPr>
            <w:tcW w:w="2940" w:type="dxa"/>
          </w:tcPr>
          <w:p w14:paraId="44F2D35E"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63" w14:textId="77777777" w:rsidTr="008B5BFD">
        <w:trPr>
          <w:trHeight w:val="378"/>
        </w:trPr>
        <w:tc>
          <w:tcPr>
            <w:tcW w:w="585" w:type="dxa"/>
          </w:tcPr>
          <w:p w14:paraId="44F2D360" w14:textId="41D6B37E" w:rsidR="006E5A74" w:rsidRPr="00B81D1B" w:rsidRDefault="00545AC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23</w:t>
            </w:r>
          </w:p>
        </w:tc>
        <w:tc>
          <w:tcPr>
            <w:tcW w:w="6502" w:type="dxa"/>
          </w:tcPr>
          <w:p w14:paraId="44F2D361" w14:textId="70BDAC7A"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Yan J, Li Q-F, Wang L-S, Wang H, Xiao F-J, Yang Y-F, et al. Methyl-β-cyclodextrin induces programmed cell death in chronic myeloid leukemia cells and, combined with imatinib, produces a synergistic downregulation of ERK/SPK1 signaling. Anticancer Drugs. 2012 Jan;23(1):22–31.</w:t>
            </w:r>
          </w:p>
        </w:tc>
        <w:tc>
          <w:tcPr>
            <w:tcW w:w="2940" w:type="dxa"/>
          </w:tcPr>
          <w:p w14:paraId="44F2D362"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SphK1 activity is not reported from patient sample </w:t>
            </w:r>
          </w:p>
        </w:tc>
      </w:tr>
      <w:tr w:rsidR="006E5A74" w:rsidRPr="00B81D1B" w14:paraId="44F2D367" w14:textId="77777777" w:rsidTr="008B5BFD">
        <w:trPr>
          <w:trHeight w:val="378"/>
        </w:trPr>
        <w:tc>
          <w:tcPr>
            <w:tcW w:w="585" w:type="dxa"/>
          </w:tcPr>
          <w:p w14:paraId="44F2D364" w14:textId="4E94168E" w:rsidR="006E5A74" w:rsidRPr="00B81D1B" w:rsidRDefault="00323149"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24</w:t>
            </w:r>
          </w:p>
        </w:tc>
        <w:tc>
          <w:tcPr>
            <w:tcW w:w="6502" w:type="dxa"/>
          </w:tcPr>
          <w:p w14:paraId="44F2D365"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Morad SAF, Tan S-F, Feith DJ, Kester M, Claxton DF, Loughran TPJ, et al. Modification of sphingolipid metabolism by tamoxifen and N-desmethyltamoxifen in acute myelogenous leukemia--Impact on enzyme activity and response to cytotoxics. Biochim Biophys Acta. 2015 Jul;1851(7):919–28.</w:t>
            </w:r>
          </w:p>
        </w:tc>
        <w:tc>
          <w:tcPr>
            <w:tcW w:w="2940" w:type="dxa"/>
          </w:tcPr>
          <w:p w14:paraId="44F2D36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from patient’s sample</w:t>
            </w:r>
          </w:p>
        </w:tc>
      </w:tr>
      <w:tr w:rsidR="004B6814" w:rsidRPr="00B81D1B" w14:paraId="5D95E18A" w14:textId="77777777" w:rsidTr="008B5BFD">
        <w:trPr>
          <w:trHeight w:val="378"/>
        </w:trPr>
        <w:tc>
          <w:tcPr>
            <w:tcW w:w="585" w:type="dxa"/>
          </w:tcPr>
          <w:p w14:paraId="3A65A974" w14:textId="5351F167" w:rsidR="004B6814" w:rsidRPr="00B81D1B" w:rsidRDefault="004B681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25</w:t>
            </w:r>
          </w:p>
        </w:tc>
        <w:tc>
          <w:tcPr>
            <w:tcW w:w="6502" w:type="dxa"/>
          </w:tcPr>
          <w:p w14:paraId="167EF5B4" w14:textId="119983C8" w:rsidR="004B6814" w:rsidRPr="00B81D1B" w:rsidRDefault="004B6814" w:rsidP="0083237C">
            <w:pPr>
              <w:jc w:val="both"/>
              <w:rPr>
                <w:rFonts w:ascii="Times New Roman" w:eastAsia="Times New Roman" w:hAnsi="Times New Roman" w:cs="Times New Roman"/>
                <w:sz w:val="24"/>
                <w:szCs w:val="24"/>
                <w:lang w:val="en-IN" w:eastAsia="en-IN"/>
              </w:rPr>
            </w:pPr>
            <w:r w:rsidRPr="00B81D1B">
              <w:rPr>
                <w:rFonts w:ascii="Times New Roman" w:eastAsia="Times New Roman" w:hAnsi="Times New Roman" w:cs="Times New Roman"/>
                <w:sz w:val="24"/>
                <w:szCs w:val="24"/>
                <w:lang w:val="en-IN" w:eastAsia="en-IN"/>
              </w:rPr>
              <w:t xml:space="preserve">Baran Y, Camgoz A, Ural A, Avcu F. Molecular mechanisms of </w:t>
            </w:r>
            <w:r w:rsidRPr="00B81D1B">
              <w:rPr>
                <w:rFonts w:ascii="Times New Roman" w:eastAsia="Times New Roman" w:hAnsi="Times New Roman" w:cs="Times New Roman"/>
                <w:sz w:val="24"/>
                <w:szCs w:val="24"/>
                <w:lang w:val="en-IN" w:eastAsia="en-IN"/>
              </w:rPr>
              <w:lastRenderedPageBreak/>
              <w:t>nilotinib resistance and reversal of resistance in chronic myeloid leukemia cells. Haematologica. 2011;96((Baran Y.; Camgoz A.) Izmir Institute of Technology, Izmir, Turkey):88–9.</w:t>
            </w:r>
          </w:p>
          <w:p w14:paraId="69229DD5" w14:textId="77777777" w:rsidR="004B6814" w:rsidRPr="00B81D1B" w:rsidRDefault="004B6814" w:rsidP="0083237C">
            <w:pPr>
              <w:jc w:val="both"/>
              <w:rPr>
                <w:rFonts w:ascii="Times New Roman" w:eastAsia="Times New Roman" w:hAnsi="Times New Roman" w:cs="Times New Roman"/>
                <w:color w:val="0D0D0D" w:themeColor="text1" w:themeTint="F2"/>
                <w:sz w:val="24"/>
                <w:szCs w:val="24"/>
              </w:rPr>
            </w:pPr>
          </w:p>
        </w:tc>
        <w:tc>
          <w:tcPr>
            <w:tcW w:w="2940" w:type="dxa"/>
          </w:tcPr>
          <w:p w14:paraId="700DD449" w14:textId="6968B419" w:rsidR="004B6814" w:rsidRPr="00B81D1B" w:rsidRDefault="00A3080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lastRenderedPageBreak/>
              <w:t>Cell line study</w:t>
            </w:r>
          </w:p>
        </w:tc>
      </w:tr>
      <w:tr w:rsidR="006E5A74" w:rsidRPr="00B81D1B" w14:paraId="44F2D373" w14:textId="77777777" w:rsidTr="008B5BFD">
        <w:trPr>
          <w:trHeight w:val="378"/>
        </w:trPr>
        <w:tc>
          <w:tcPr>
            <w:tcW w:w="585" w:type="dxa"/>
          </w:tcPr>
          <w:p w14:paraId="44F2D370" w14:textId="7CD64547" w:rsidR="006E5A74" w:rsidRPr="00B81D1B" w:rsidRDefault="008C7D6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6E5A74" w:rsidRPr="00B81D1B">
              <w:rPr>
                <w:rFonts w:ascii="Times New Roman" w:hAnsi="Times New Roman" w:cs="Times New Roman"/>
                <w:color w:val="0D0D0D" w:themeColor="text1" w:themeTint="F2"/>
                <w:sz w:val="24"/>
                <w:szCs w:val="24"/>
              </w:rPr>
              <w:t>6</w:t>
            </w:r>
          </w:p>
        </w:tc>
        <w:tc>
          <w:tcPr>
            <w:tcW w:w="6502" w:type="dxa"/>
          </w:tcPr>
          <w:p w14:paraId="44F2D371"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Bonhoure E, Pchejetski D, Aouali N, Morjani H, Levade T, Kohama T, et al. Overcoming MDR-associated chemoresistance in HL-60 acute myeloid leukemia cells by targeting sphingosine kinase-1. Leukemia. 2006 Jan;20(1):95–102.</w:t>
            </w:r>
          </w:p>
        </w:tc>
        <w:tc>
          <w:tcPr>
            <w:tcW w:w="2940" w:type="dxa"/>
          </w:tcPr>
          <w:p w14:paraId="44F2D372"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77" w14:textId="77777777" w:rsidTr="008B5BFD">
        <w:trPr>
          <w:trHeight w:val="378"/>
        </w:trPr>
        <w:tc>
          <w:tcPr>
            <w:tcW w:w="585" w:type="dxa"/>
          </w:tcPr>
          <w:p w14:paraId="44F2D374" w14:textId="266D3DB2" w:rsidR="006E5A74" w:rsidRPr="00B81D1B" w:rsidRDefault="008C7D6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6E5A74" w:rsidRPr="00B81D1B">
              <w:rPr>
                <w:rFonts w:ascii="Times New Roman" w:hAnsi="Times New Roman" w:cs="Times New Roman"/>
                <w:color w:val="0D0D0D" w:themeColor="text1" w:themeTint="F2"/>
                <w:sz w:val="24"/>
                <w:szCs w:val="24"/>
              </w:rPr>
              <w:t>7</w:t>
            </w:r>
          </w:p>
        </w:tc>
        <w:tc>
          <w:tcPr>
            <w:tcW w:w="6502" w:type="dxa"/>
          </w:tcPr>
          <w:p w14:paraId="44F2D375"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Le Scolan E, Pchejetski D, Banno Y, Denis N, Mayeux P, Vainchenker W, et al. Overexpression of sphingosine kinase 1 is an oncogenic event in erythroleukemic progression. Blood. 2005 Sep 1;106(5):1808–16.</w:t>
            </w:r>
          </w:p>
        </w:tc>
        <w:tc>
          <w:tcPr>
            <w:tcW w:w="2940" w:type="dxa"/>
          </w:tcPr>
          <w:p w14:paraId="44F2D37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Cell line Study</w:t>
            </w:r>
          </w:p>
        </w:tc>
      </w:tr>
      <w:tr w:rsidR="006E5A74" w:rsidRPr="00B81D1B" w14:paraId="44F2D37B" w14:textId="77777777" w:rsidTr="008B5BFD">
        <w:trPr>
          <w:trHeight w:val="378"/>
        </w:trPr>
        <w:tc>
          <w:tcPr>
            <w:tcW w:w="585" w:type="dxa"/>
          </w:tcPr>
          <w:p w14:paraId="44F2D378" w14:textId="20E10BA3" w:rsidR="006E5A74" w:rsidRPr="00B81D1B" w:rsidRDefault="00041C20"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6E5A74" w:rsidRPr="00B81D1B">
              <w:rPr>
                <w:rFonts w:ascii="Times New Roman" w:hAnsi="Times New Roman" w:cs="Times New Roman"/>
                <w:color w:val="0D0D0D" w:themeColor="text1" w:themeTint="F2"/>
                <w:sz w:val="24"/>
                <w:szCs w:val="24"/>
              </w:rPr>
              <w:t>8</w:t>
            </w:r>
          </w:p>
        </w:tc>
        <w:tc>
          <w:tcPr>
            <w:tcW w:w="6502" w:type="dxa"/>
          </w:tcPr>
          <w:p w14:paraId="44F2D379"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 Q-F, Zhu H-Y, Yang Y-F, Liu J, Xiao F-J, Zhang Q-W, et al. Prokineticin-1/endocrine gland-derived vascular endothelial growth factor is a survival factor for human multiple myeloma cells. Leukemia &amp; Lymphoma. 2010 Oct;51(10):1902–12.</w:t>
            </w:r>
          </w:p>
        </w:tc>
        <w:tc>
          <w:tcPr>
            <w:tcW w:w="2940" w:type="dxa"/>
          </w:tcPr>
          <w:p w14:paraId="44F2D37A"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from patient’s sample</w:t>
            </w:r>
          </w:p>
        </w:tc>
      </w:tr>
      <w:tr w:rsidR="006E5A74" w:rsidRPr="00B81D1B" w14:paraId="44F2D37F" w14:textId="77777777" w:rsidTr="008B5BFD">
        <w:trPr>
          <w:trHeight w:val="378"/>
        </w:trPr>
        <w:tc>
          <w:tcPr>
            <w:tcW w:w="585" w:type="dxa"/>
          </w:tcPr>
          <w:p w14:paraId="44F2D37C" w14:textId="13F04EC5" w:rsidR="006E5A74" w:rsidRPr="00B81D1B" w:rsidRDefault="00D92C2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2</w:t>
            </w:r>
            <w:r w:rsidR="006E5A74" w:rsidRPr="00B81D1B">
              <w:rPr>
                <w:rFonts w:ascii="Times New Roman" w:hAnsi="Times New Roman" w:cs="Times New Roman"/>
                <w:color w:val="0D0D0D" w:themeColor="text1" w:themeTint="F2"/>
                <w:sz w:val="24"/>
                <w:szCs w:val="24"/>
              </w:rPr>
              <w:t>9</w:t>
            </w:r>
          </w:p>
        </w:tc>
        <w:tc>
          <w:tcPr>
            <w:tcW w:w="6502" w:type="dxa"/>
          </w:tcPr>
          <w:p w14:paraId="44F2D37D"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Sobue S, Iwasaki T, Sugisaki C, Nagata K, Kikuchi R, Murakami M, et al. Quantitative RT-PCR analysis of sphingolipid metabolic enzymes in acute leukemia and myelodysplastic syndromes [4]. Leukemia. 2006;20(11):2042–6.</w:t>
            </w:r>
          </w:p>
        </w:tc>
        <w:tc>
          <w:tcPr>
            <w:tcW w:w="2940" w:type="dxa"/>
          </w:tcPr>
          <w:p w14:paraId="44F2D37E"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 comparison with healthy participants</w:t>
            </w:r>
          </w:p>
        </w:tc>
      </w:tr>
      <w:tr w:rsidR="006E5A74" w:rsidRPr="00B81D1B" w14:paraId="44F2D384" w14:textId="77777777" w:rsidTr="008B5BFD">
        <w:trPr>
          <w:trHeight w:val="378"/>
        </w:trPr>
        <w:tc>
          <w:tcPr>
            <w:tcW w:w="585" w:type="dxa"/>
          </w:tcPr>
          <w:p w14:paraId="44F2D380" w14:textId="0400133F" w:rsidR="006E5A74" w:rsidRPr="00B81D1B" w:rsidRDefault="00C02221"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30</w:t>
            </w:r>
          </w:p>
        </w:tc>
        <w:tc>
          <w:tcPr>
            <w:tcW w:w="6502" w:type="dxa"/>
          </w:tcPr>
          <w:p w14:paraId="44F2D381"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 xml:space="preserve">Petrusca DN, Park C, Wang F, Anderson J, Roodman DG. Role of Gfi1 transcription factor in myeloma cells growth and survival. FASEB J [Internet]. 2016;30((Petrusca D.N.; Park C.; Wang F.; Anderson J.; Roodman D.G.) Medicine-Hematology/Oncology, Indiana University, Indianapolis, IN, United States). Available from: </w:t>
            </w:r>
          </w:p>
          <w:p w14:paraId="44F2D382" w14:textId="77777777" w:rsidR="006E5A74" w:rsidRPr="00B81D1B" w:rsidRDefault="00000000" w:rsidP="0083237C">
            <w:pPr>
              <w:jc w:val="both"/>
              <w:rPr>
                <w:rFonts w:ascii="Times New Roman" w:eastAsia="Times New Roman" w:hAnsi="Times New Roman" w:cs="Times New Roman"/>
                <w:color w:val="0D0D0D" w:themeColor="text1" w:themeTint="F2"/>
                <w:sz w:val="24"/>
                <w:szCs w:val="24"/>
              </w:rPr>
            </w:pPr>
            <w:hyperlink r:id="rId9" w:history="1">
              <w:r w:rsidR="006E5A74" w:rsidRPr="00B81D1B">
                <w:rPr>
                  <w:rFonts w:ascii="Times New Roman" w:eastAsia="Times New Roman" w:hAnsi="Times New Roman" w:cs="Times New Roman"/>
                  <w:color w:val="0D0D0D" w:themeColor="text1" w:themeTint="F2"/>
                  <w:sz w:val="24"/>
                  <w:szCs w:val="24"/>
                  <w:u w:val="single"/>
                </w:rPr>
                <w:t>https://www.embase.com/search/results?subaction=viewrecord&amp;id=L72319287&amp;from=export</w:t>
              </w:r>
            </w:hyperlink>
          </w:p>
        </w:tc>
        <w:tc>
          <w:tcPr>
            <w:tcW w:w="2940" w:type="dxa"/>
          </w:tcPr>
          <w:p w14:paraId="44F2D383" w14:textId="1660A84B" w:rsidR="006E5A74" w:rsidRPr="00B81D1B" w:rsidRDefault="00C96DA2"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Abstract</w:t>
            </w:r>
          </w:p>
        </w:tc>
      </w:tr>
      <w:tr w:rsidR="006E5A74" w:rsidRPr="00B81D1B" w14:paraId="44F2D388" w14:textId="77777777" w:rsidTr="008B5BFD">
        <w:trPr>
          <w:trHeight w:val="378"/>
        </w:trPr>
        <w:tc>
          <w:tcPr>
            <w:tcW w:w="585" w:type="dxa"/>
          </w:tcPr>
          <w:p w14:paraId="44F2D385" w14:textId="43EF5250" w:rsidR="006E5A74" w:rsidRPr="00B81D1B" w:rsidRDefault="00E161FB"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w:t>
            </w:r>
            <w:r w:rsidR="006E5A74" w:rsidRPr="00B81D1B">
              <w:rPr>
                <w:rFonts w:ascii="Times New Roman" w:hAnsi="Times New Roman" w:cs="Times New Roman"/>
                <w:color w:val="0D0D0D" w:themeColor="text1" w:themeTint="F2"/>
                <w:sz w:val="24"/>
                <w:szCs w:val="24"/>
              </w:rPr>
              <w:t>1</w:t>
            </w:r>
          </w:p>
        </w:tc>
        <w:tc>
          <w:tcPr>
            <w:tcW w:w="6502" w:type="dxa"/>
          </w:tcPr>
          <w:p w14:paraId="44F2D38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Beider K, Rosenberg E, Bitner H, Leiba M, Koren-Michowitz M, Abraham M, et al. S1P modulator FTY720 targets multiple myeloma cell proliferation and stromal interactions via CXCR4/CXCL12 and mTOR pathways. Blood [Internet]. 2014;124(21). </w:t>
            </w:r>
          </w:p>
        </w:tc>
        <w:tc>
          <w:tcPr>
            <w:tcW w:w="2940" w:type="dxa"/>
          </w:tcPr>
          <w:p w14:paraId="44F2D387"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Poster</w:t>
            </w:r>
          </w:p>
        </w:tc>
      </w:tr>
      <w:tr w:rsidR="006E5A74" w:rsidRPr="00B81D1B" w14:paraId="44F2D392" w14:textId="77777777" w:rsidTr="008B5BFD">
        <w:trPr>
          <w:trHeight w:val="378"/>
        </w:trPr>
        <w:tc>
          <w:tcPr>
            <w:tcW w:w="585" w:type="dxa"/>
          </w:tcPr>
          <w:p w14:paraId="44F2D38F" w14:textId="3BC46E03" w:rsidR="006E5A74" w:rsidRPr="00B81D1B" w:rsidRDefault="008B36CD"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32</w:t>
            </w:r>
          </w:p>
        </w:tc>
        <w:tc>
          <w:tcPr>
            <w:tcW w:w="6502" w:type="dxa"/>
          </w:tcPr>
          <w:p w14:paraId="44F2D390"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Vrzalikova K, Ibrahim M, Vockerodt M, Perry T, Margielewska S, Lupino L, et al. S1PR1 drives a feedforwardsignalling loop to regulate BATF3 and the transcriptional programme of Hodgkin lymphoma cells. Leukemia. 2018;32(1):214–23.</w:t>
            </w:r>
          </w:p>
        </w:tc>
        <w:tc>
          <w:tcPr>
            <w:tcW w:w="2940" w:type="dxa"/>
          </w:tcPr>
          <w:p w14:paraId="44F2D391"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 comparison with healthy participants</w:t>
            </w:r>
          </w:p>
        </w:tc>
      </w:tr>
      <w:tr w:rsidR="006E5A74" w:rsidRPr="00B81D1B" w14:paraId="44F2D3B3" w14:textId="77777777" w:rsidTr="008B5BFD">
        <w:trPr>
          <w:trHeight w:val="378"/>
        </w:trPr>
        <w:tc>
          <w:tcPr>
            <w:tcW w:w="585" w:type="dxa"/>
          </w:tcPr>
          <w:p w14:paraId="44F2D3B0" w14:textId="21BBFE25" w:rsidR="006E5A74" w:rsidRPr="00B81D1B" w:rsidRDefault="006A2797"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33</w:t>
            </w:r>
          </w:p>
        </w:tc>
        <w:tc>
          <w:tcPr>
            <w:tcW w:w="6502" w:type="dxa"/>
          </w:tcPr>
          <w:p w14:paraId="44F2D3B1"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Bayerl MG, Bruggeman RD, Conroy EJ, Hengst JA, King TS, Jimenez M, et al. Sphingosine kinase 1 protein and mRNA are overexpressed in non-Hodgkin lymphomas and are attractive targets for novel pharmacological interventions. Leuk Lymphoma. 2008 May;49(5):948–54.</w:t>
            </w:r>
          </w:p>
        </w:tc>
        <w:tc>
          <w:tcPr>
            <w:tcW w:w="2940" w:type="dxa"/>
          </w:tcPr>
          <w:p w14:paraId="44F2D3B2"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 comparison with healthy participants</w:t>
            </w:r>
          </w:p>
        </w:tc>
      </w:tr>
      <w:tr w:rsidR="006E5A74" w:rsidRPr="00B81D1B" w14:paraId="44F2D3BF" w14:textId="77777777" w:rsidTr="008B5BFD">
        <w:trPr>
          <w:trHeight w:val="378"/>
        </w:trPr>
        <w:tc>
          <w:tcPr>
            <w:tcW w:w="585" w:type="dxa"/>
          </w:tcPr>
          <w:p w14:paraId="44F2D3BC" w14:textId="144FD012" w:rsidR="006E5A74" w:rsidRPr="00B81D1B" w:rsidRDefault="00A20EAB"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34</w:t>
            </w:r>
          </w:p>
        </w:tc>
        <w:tc>
          <w:tcPr>
            <w:tcW w:w="6502" w:type="dxa"/>
          </w:tcPr>
          <w:p w14:paraId="44F2D3BD"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Limaye V, Li X, Hahn C, Xia P, Berndt MC, Vadas MA, et al. Sphingosine kinase-1 enhances endothelial cell survival through a PECAM-1-dependent activation of PI-3K/Akt and regulation of Bcl-2 family members. Blood. 2005 Apr 15;105(8):3169–77.</w:t>
            </w:r>
          </w:p>
        </w:tc>
        <w:tc>
          <w:tcPr>
            <w:tcW w:w="2940" w:type="dxa"/>
          </w:tcPr>
          <w:p w14:paraId="44F2D3BE"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Not relevant</w:t>
            </w:r>
          </w:p>
        </w:tc>
      </w:tr>
      <w:tr w:rsidR="006E5A74" w:rsidRPr="00B81D1B" w14:paraId="44F2D3C3" w14:textId="77777777" w:rsidTr="008B5BFD">
        <w:trPr>
          <w:trHeight w:val="378"/>
        </w:trPr>
        <w:tc>
          <w:tcPr>
            <w:tcW w:w="585" w:type="dxa"/>
          </w:tcPr>
          <w:p w14:paraId="44F2D3C0" w14:textId="54791975" w:rsidR="006E5A74" w:rsidRPr="00B81D1B" w:rsidRDefault="00A20EAB"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lastRenderedPageBreak/>
              <w:t>35</w:t>
            </w:r>
          </w:p>
        </w:tc>
        <w:tc>
          <w:tcPr>
            <w:tcW w:w="6502" w:type="dxa"/>
          </w:tcPr>
          <w:p w14:paraId="44F2D3C1"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Bonhoure E, Lauret A, Barnes DJ, Martin C, Malavaud B, Kohama T, et al. Sphingosine kinase-1 is a downstream regulator of imatinib-induced apoptosis in chronic myeloid leukemia cells. Leukemia. 2008 May;22(5):971–9</w:t>
            </w:r>
          </w:p>
        </w:tc>
        <w:tc>
          <w:tcPr>
            <w:tcW w:w="2940" w:type="dxa"/>
          </w:tcPr>
          <w:p w14:paraId="44F2D3C2"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 from patient’s sample</w:t>
            </w:r>
          </w:p>
        </w:tc>
      </w:tr>
      <w:tr w:rsidR="006E5A74" w:rsidRPr="00B81D1B" w14:paraId="44F2D3CB" w14:textId="77777777" w:rsidTr="008B5BFD">
        <w:trPr>
          <w:trHeight w:val="378"/>
        </w:trPr>
        <w:tc>
          <w:tcPr>
            <w:tcW w:w="585" w:type="dxa"/>
          </w:tcPr>
          <w:p w14:paraId="44F2D3C8" w14:textId="76CB674D" w:rsidR="006E5A74" w:rsidRPr="00B81D1B" w:rsidRDefault="00B03BAC"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36</w:t>
            </w:r>
          </w:p>
        </w:tc>
        <w:tc>
          <w:tcPr>
            <w:tcW w:w="6502" w:type="dxa"/>
          </w:tcPr>
          <w:p w14:paraId="44F2D3C9"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 Q-F, Huang W-R, Duan H-F, Wang H, Wu C-T, Wang L-S. Sphingosine kinase-1 mediates BCR/ABL-induced upregulation of Mcl-1 in chronic myeloid leukemia cells. Oncogene. 2007 Dec 13;26(57):7904–8.</w:t>
            </w:r>
          </w:p>
        </w:tc>
        <w:tc>
          <w:tcPr>
            <w:tcW w:w="2940" w:type="dxa"/>
          </w:tcPr>
          <w:p w14:paraId="44F2D3CA"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Detection method is not mentioned</w:t>
            </w:r>
          </w:p>
        </w:tc>
      </w:tr>
      <w:tr w:rsidR="006E5A74" w:rsidRPr="00B81D1B" w14:paraId="44F2D3CF" w14:textId="77777777" w:rsidTr="008B5BFD">
        <w:trPr>
          <w:trHeight w:val="378"/>
        </w:trPr>
        <w:tc>
          <w:tcPr>
            <w:tcW w:w="585" w:type="dxa"/>
          </w:tcPr>
          <w:p w14:paraId="44F2D3CC" w14:textId="52A61AD1" w:rsidR="006E5A74" w:rsidRPr="00B81D1B" w:rsidRDefault="00B03BAC"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37</w:t>
            </w:r>
          </w:p>
        </w:tc>
        <w:tc>
          <w:tcPr>
            <w:tcW w:w="6502" w:type="dxa"/>
          </w:tcPr>
          <w:p w14:paraId="44F2D3CD"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Almejun MB, Borge M, Colado A, Podaza E, Risnik D, DeBrasi CD, et al. Sphingosine kinases (SK): Key molecules associated with the activation, proliferation and ibrutinib-induced cell death of chronic lympocytic leukemia cells. Blood. 2015;126(23):1714.</w:t>
            </w:r>
          </w:p>
        </w:tc>
        <w:tc>
          <w:tcPr>
            <w:tcW w:w="2940" w:type="dxa"/>
          </w:tcPr>
          <w:p w14:paraId="44F2D3CE"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Poster</w:t>
            </w:r>
          </w:p>
        </w:tc>
      </w:tr>
      <w:tr w:rsidR="006E5A74" w:rsidRPr="00B81D1B" w14:paraId="44F2D3D3" w14:textId="77777777" w:rsidTr="008B5BFD">
        <w:trPr>
          <w:trHeight w:val="378"/>
        </w:trPr>
        <w:tc>
          <w:tcPr>
            <w:tcW w:w="585" w:type="dxa"/>
          </w:tcPr>
          <w:p w14:paraId="44F2D3D0" w14:textId="333D5841" w:rsidR="006E5A74" w:rsidRPr="00B81D1B" w:rsidRDefault="0035782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38</w:t>
            </w:r>
          </w:p>
        </w:tc>
        <w:tc>
          <w:tcPr>
            <w:tcW w:w="6502" w:type="dxa"/>
          </w:tcPr>
          <w:p w14:paraId="44F2D3D1"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Wallington-Beddoe C, Bradstock K, Bendall L. Sphingosine kinases are important therapeutic targets in precursor B-cell acute lymphoblastic leukemia. Exp Hematol. 2012;40(8):S81–2.</w:t>
            </w:r>
          </w:p>
        </w:tc>
        <w:tc>
          <w:tcPr>
            <w:tcW w:w="2940" w:type="dxa"/>
          </w:tcPr>
          <w:p w14:paraId="44F2D3D2" w14:textId="41DA1D68"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Full </w:t>
            </w:r>
            <w:r w:rsidR="00AF58D3" w:rsidRPr="00B81D1B">
              <w:rPr>
                <w:rFonts w:ascii="Times New Roman" w:hAnsi="Times New Roman" w:cs="Times New Roman"/>
                <w:color w:val="0D0D0D" w:themeColor="text1" w:themeTint="F2"/>
                <w:sz w:val="24"/>
                <w:szCs w:val="24"/>
              </w:rPr>
              <w:t>text</w:t>
            </w:r>
            <w:r w:rsidRPr="00B81D1B">
              <w:rPr>
                <w:rFonts w:ascii="Times New Roman" w:hAnsi="Times New Roman" w:cs="Times New Roman"/>
                <w:color w:val="0D0D0D" w:themeColor="text1" w:themeTint="F2"/>
                <w:sz w:val="24"/>
                <w:szCs w:val="24"/>
              </w:rPr>
              <w:t xml:space="preserve"> </w:t>
            </w:r>
            <w:r w:rsidR="00AF58D3" w:rsidRPr="00B81D1B">
              <w:rPr>
                <w:rFonts w:ascii="Times New Roman" w:hAnsi="Times New Roman" w:cs="Times New Roman"/>
                <w:color w:val="0D0D0D" w:themeColor="text1" w:themeTint="F2"/>
                <w:sz w:val="24"/>
                <w:szCs w:val="24"/>
              </w:rPr>
              <w:t>paper</w:t>
            </w:r>
            <w:r w:rsidRPr="00B81D1B">
              <w:rPr>
                <w:rFonts w:ascii="Times New Roman" w:hAnsi="Times New Roman" w:cs="Times New Roman"/>
                <w:color w:val="0D0D0D" w:themeColor="text1" w:themeTint="F2"/>
                <w:sz w:val="24"/>
                <w:szCs w:val="24"/>
              </w:rPr>
              <w:t xml:space="preserve"> not available</w:t>
            </w:r>
          </w:p>
        </w:tc>
      </w:tr>
      <w:tr w:rsidR="006E5A74" w:rsidRPr="00B81D1B" w14:paraId="44F2D3DB" w14:textId="77777777" w:rsidTr="008B5BFD">
        <w:trPr>
          <w:trHeight w:val="378"/>
        </w:trPr>
        <w:tc>
          <w:tcPr>
            <w:tcW w:w="585" w:type="dxa"/>
          </w:tcPr>
          <w:p w14:paraId="44F2D3D8" w14:textId="107ADD44" w:rsidR="006E5A74" w:rsidRPr="00B81D1B" w:rsidRDefault="00B23AD5"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39</w:t>
            </w:r>
          </w:p>
        </w:tc>
        <w:tc>
          <w:tcPr>
            <w:tcW w:w="6502" w:type="dxa"/>
          </w:tcPr>
          <w:p w14:paraId="44F2D3D9"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Lupino L, Perry T, Margielewska S, Hollows R, Ibrahim M, Care M, et al. Sphingosine-1-phosphate signalling drives an angiogenic transcriptional programme in diffuse large B cell lymphoma. Leukemia. 2019 Dec;33(12):2884–97</w:t>
            </w:r>
          </w:p>
        </w:tc>
        <w:tc>
          <w:tcPr>
            <w:tcW w:w="2940" w:type="dxa"/>
          </w:tcPr>
          <w:p w14:paraId="44F2D3DA" w14:textId="3842517F"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w:t>
            </w:r>
            <w:r w:rsidR="00A859DB" w:rsidRPr="00B81D1B">
              <w:rPr>
                <w:rFonts w:ascii="Times New Roman" w:hAnsi="Times New Roman" w:cs="Times New Roman"/>
                <w:color w:val="0D0D0D" w:themeColor="text1" w:themeTint="F2"/>
                <w:sz w:val="24"/>
                <w:szCs w:val="24"/>
              </w:rPr>
              <w:t xml:space="preserve"> </w:t>
            </w:r>
            <w:r w:rsidRPr="00B81D1B">
              <w:rPr>
                <w:rFonts w:ascii="Times New Roman" w:hAnsi="Times New Roman" w:cs="Times New Roman"/>
                <w:color w:val="0D0D0D" w:themeColor="text1" w:themeTint="F2"/>
                <w:sz w:val="24"/>
                <w:szCs w:val="24"/>
              </w:rPr>
              <w:t>comparison with healthy participants</w:t>
            </w:r>
          </w:p>
        </w:tc>
      </w:tr>
      <w:tr w:rsidR="006E5A74" w:rsidRPr="00B81D1B" w14:paraId="44F2D3DF" w14:textId="77777777" w:rsidTr="008B5BFD">
        <w:trPr>
          <w:trHeight w:val="378"/>
        </w:trPr>
        <w:tc>
          <w:tcPr>
            <w:tcW w:w="585" w:type="dxa"/>
          </w:tcPr>
          <w:p w14:paraId="44F2D3DC" w14:textId="7699D42C" w:rsidR="006E5A74" w:rsidRPr="00B81D1B" w:rsidRDefault="00082606"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40</w:t>
            </w:r>
          </w:p>
        </w:tc>
        <w:tc>
          <w:tcPr>
            <w:tcW w:w="6502" w:type="dxa"/>
          </w:tcPr>
          <w:p w14:paraId="44F2D3DD"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Huang W-R, Wang L-S, Wang H, Duan H-F, Li Q-F, Gao C-J, et al. [SphK-1/S1P signal pathway in CML cells]. Zhongguo Shi Yan Xue Ye Xue ZaZhi. 2008 Aug;16(4):730–3.</w:t>
            </w:r>
          </w:p>
        </w:tc>
        <w:tc>
          <w:tcPr>
            <w:tcW w:w="2940" w:type="dxa"/>
          </w:tcPr>
          <w:p w14:paraId="44F2D3DE"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Not in English language</w:t>
            </w:r>
          </w:p>
        </w:tc>
      </w:tr>
      <w:tr w:rsidR="006E5A74" w:rsidRPr="00B81D1B" w14:paraId="44F2D3E7" w14:textId="77777777" w:rsidTr="008B5BFD">
        <w:trPr>
          <w:trHeight w:val="378"/>
        </w:trPr>
        <w:tc>
          <w:tcPr>
            <w:tcW w:w="585" w:type="dxa"/>
          </w:tcPr>
          <w:p w14:paraId="44F2D3E4" w14:textId="092F17D0" w:rsidR="006E5A74" w:rsidRPr="00B81D1B" w:rsidRDefault="00845CCC"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41</w:t>
            </w:r>
          </w:p>
        </w:tc>
        <w:tc>
          <w:tcPr>
            <w:tcW w:w="6502" w:type="dxa"/>
          </w:tcPr>
          <w:p w14:paraId="44F2D3E5" w14:textId="77777777"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Liu X-Y, Yang Y-F, Wu C-T, Xiao F-J, Zhang Q-W, Ma X-N, et al. Spred2 is involved in imatinib-induced cytotoxicity in chronic myeloid leukemia cells. Biochem Biophys Res Commun. 2010 Mar 19;393(4):637–42.</w:t>
            </w:r>
          </w:p>
        </w:tc>
        <w:tc>
          <w:tcPr>
            <w:tcW w:w="2940" w:type="dxa"/>
          </w:tcPr>
          <w:p w14:paraId="44F2D3E6"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SphK1 activity is not reported</w:t>
            </w:r>
          </w:p>
        </w:tc>
      </w:tr>
      <w:tr w:rsidR="006E5A74" w:rsidRPr="00B81D1B" w14:paraId="44F2D3F0" w14:textId="77777777" w:rsidTr="008B5BFD">
        <w:trPr>
          <w:trHeight w:val="378"/>
        </w:trPr>
        <w:tc>
          <w:tcPr>
            <w:tcW w:w="585" w:type="dxa"/>
          </w:tcPr>
          <w:p w14:paraId="44F2D3ED" w14:textId="71B8BAD6" w:rsidR="006E5A74" w:rsidRPr="00B81D1B" w:rsidRDefault="004726F6"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42</w:t>
            </w:r>
          </w:p>
        </w:tc>
        <w:tc>
          <w:tcPr>
            <w:tcW w:w="6502" w:type="dxa"/>
          </w:tcPr>
          <w:p w14:paraId="44F2D3EE" w14:textId="77777777" w:rsidR="006E5A74" w:rsidRPr="00B81D1B" w:rsidRDefault="006E5A74" w:rsidP="0083237C">
            <w:pPr>
              <w:ind w:right="96"/>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Powell J, Pitman M, Coolen C, Zhu W, Lewis I, D’Andrea R, et al. Targeting sphingosine kinase as atherapy for acute myeloid leukaemia. Exp Hematol. 2013;41(8):S54.</w:t>
            </w:r>
          </w:p>
        </w:tc>
        <w:tc>
          <w:tcPr>
            <w:tcW w:w="2940" w:type="dxa"/>
          </w:tcPr>
          <w:p w14:paraId="44F2D3EF" w14:textId="77777777"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Poster</w:t>
            </w:r>
          </w:p>
        </w:tc>
      </w:tr>
      <w:tr w:rsidR="006E5A74" w:rsidRPr="00B81D1B" w14:paraId="44F2D403" w14:textId="77777777" w:rsidTr="008B5BFD">
        <w:trPr>
          <w:trHeight w:val="378"/>
        </w:trPr>
        <w:tc>
          <w:tcPr>
            <w:tcW w:w="585" w:type="dxa"/>
          </w:tcPr>
          <w:p w14:paraId="44F2D3FF" w14:textId="5D99F0F2" w:rsidR="006E5A74" w:rsidRPr="00B81D1B" w:rsidRDefault="003F1A37"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43</w:t>
            </w:r>
          </w:p>
        </w:tc>
        <w:tc>
          <w:tcPr>
            <w:tcW w:w="6502" w:type="dxa"/>
          </w:tcPr>
          <w:p w14:paraId="44F2D400" w14:textId="6E2BF210" w:rsidR="0083237C" w:rsidRPr="00B81D1B" w:rsidRDefault="006E5A74" w:rsidP="0083237C">
            <w:pPr>
              <w:ind w:right="96"/>
              <w:jc w:val="both"/>
              <w:rPr>
                <w:rFonts w:ascii="Times New Roman" w:eastAsia="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Petrusca DN, Berdyshev E, Mulcrone P, Crean CD, Anderson JL, Sun Q, et al. The Gfi1-SphK1 axis regulates the growth and survival of myeloma cells. Blood [Internet]. 2018;132((Petrusca D.N.; Mulcrone P.; Crean C.D.; Anderson J.L.; Roodman G.D.) Department of Medicine/Hematology-Oncology, Indiana University School of Medicine, Indianapolis, IN, United States)</w:t>
            </w:r>
            <w:r w:rsidR="0083237C" w:rsidRPr="00B81D1B">
              <w:rPr>
                <w:rFonts w:ascii="Times New Roman" w:eastAsia="Times New Roman" w:hAnsi="Times New Roman" w:cs="Times New Roman"/>
                <w:color w:val="0D0D0D" w:themeColor="text1" w:themeTint="F2"/>
                <w:sz w:val="24"/>
                <w:szCs w:val="24"/>
              </w:rPr>
              <w:t xml:space="preserve"> </w:t>
            </w:r>
          </w:p>
          <w:p w14:paraId="44F2D401" w14:textId="1E2753E6" w:rsidR="006E5A74" w:rsidRPr="00B81D1B" w:rsidRDefault="006E5A74" w:rsidP="0083237C">
            <w:pPr>
              <w:ind w:right="96"/>
              <w:jc w:val="both"/>
              <w:rPr>
                <w:rFonts w:ascii="Times New Roman" w:eastAsia="Times New Roman" w:hAnsi="Times New Roman" w:cs="Times New Roman"/>
                <w:color w:val="0D0D0D" w:themeColor="text1" w:themeTint="F2"/>
                <w:sz w:val="24"/>
                <w:szCs w:val="24"/>
              </w:rPr>
            </w:pPr>
          </w:p>
        </w:tc>
        <w:tc>
          <w:tcPr>
            <w:tcW w:w="2940" w:type="dxa"/>
          </w:tcPr>
          <w:p w14:paraId="44F2D402" w14:textId="173B225B"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 xml:space="preserve">Poster presentation at 60th ASH Annual Meeting </w:t>
            </w:r>
          </w:p>
        </w:tc>
      </w:tr>
      <w:tr w:rsidR="006E5A74" w:rsidRPr="00B81D1B" w14:paraId="44F2D407" w14:textId="77777777" w:rsidTr="008B5BFD">
        <w:trPr>
          <w:trHeight w:val="378"/>
        </w:trPr>
        <w:tc>
          <w:tcPr>
            <w:tcW w:w="585" w:type="dxa"/>
          </w:tcPr>
          <w:p w14:paraId="44F2D404" w14:textId="1778649F" w:rsidR="006E5A74" w:rsidRPr="00B81D1B" w:rsidRDefault="00212FF3"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44</w:t>
            </w:r>
          </w:p>
        </w:tc>
        <w:tc>
          <w:tcPr>
            <w:tcW w:w="6502" w:type="dxa"/>
          </w:tcPr>
          <w:p w14:paraId="44F2D405" w14:textId="0D4EFE9F" w:rsidR="006E5A74" w:rsidRPr="00B81D1B" w:rsidRDefault="006E5A74" w:rsidP="0083237C">
            <w:pPr>
              <w:jc w:val="both"/>
              <w:rPr>
                <w:rFonts w:ascii="Times New Roman" w:eastAsia="Times New Roman" w:hAnsi="Times New Roman" w:cs="Times New Roman"/>
                <w:color w:val="0D0D0D" w:themeColor="text1" w:themeTint="F2"/>
                <w:sz w:val="24"/>
                <w:szCs w:val="24"/>
              </w:rPr>
            </w:pPr>
            <w:r w:rsidRPr="00B81D1B">
              <w:rPr>
                <w:rFonts w:ascii="Times New Roman" w:eastAsia="Times New Roman" w:hAnsi="Times New Roman" w:cs="Times New Roman"/>
                <w:color w:val="0D0D0D" w:themeColor="text1" w:themeTint="F2"/>
                <w:sz w:val="24"/>
                <w:szCs w:val="24"/>
              </w:rPr>
              <w:t>Baran Y, Gencer E, Ural A, Avcu F. The roles of ceramide generating and ceramide clearence genes in apoptosis in chronic myeloid Leukemia cells exposed to dasatinib. Haematologica. 2010;95((Baran Y.) Izmir Institute of Technology, Faculty of Science, Dept.of</w:t>
            </w:r>
            <w:r w:rsidR="0083237C">
              <w:rPr>
                <w:rFonts w:ascii="Times New Roman" w:eastAsia="Times New Roman" w:hAnsi="Times New Roman" w:cs="Times New Roman"/>
                <w:color w:val="0D0D0D" w:themeColor="text1" w:themeTint="F2"/>
                <w:sz w:val="24"/>
                <w:szCs w:val="24"/>
              </w:rPr>
              <w:t xml:space="preserve"> </w:t>
            </w:r>
            <w:r w:rsidRPr="00B81D1B">
              <w:rPr>
                <w:rFonts w:ascii="Times New Roman" w:eastAsia="Times New Roman" w:hAnsi="Times New Roman" w:cs="Times New Roman"/>
                <w:color w:val="0D0D0D" w:themeColor="text1" w:themeTint="F2"/>
                <w:sz w:val="24"/>
                <w:szCs w:val="24"/>
              </w:rPr>
              <w:t>Mol.Biol. and Genetics, Urla Izmir, Turkey):335–6.</w:t>
            </w:r>
          </w:p>
        </w:tc>
        <w:tc>
          <w:tcPr>
            <w:tcW w:w="2940" w:type="dxa"/>
          </w:tcPr>
          <w:p w14:paraId="44F2D406" w14:textId="7A89E6C1" w:rsidR="006E5A74" w:rsidRPr="00B81D1B" w:rsidRDefault="006E5A74" w:rsidP="0083237C">
            <w:pPr>
              <w:jc w:val="both"/>
              <w:rPr>
                <w:rFonts w:ascii="Times New Roman" w:hAnsi="Times New Roman" w:cs="Times New Roman"/>
                <w:color w:val="0D0D0D" w:themeColor="text1" w:themeTint="F2"/>
                <w:sz w:val="24"/>
                <w:szCs w:val="24"/>
              </w:rPr>
            </w:pPr>
            <w:r w:rsidRPr="00B81D1B">
              <w:rPr>
                <w:rFonts w:ascii="Times New Roman" w:hAnsi="Times New Roman" w:cs="Times New Roman"/>
                <w:color w:val="0D0D0D" w:themeColor="text1" w:themeTint="F2"/>
                <w:sz w:val="24"/>
                <w:szCs w:val="24"/>
              </w:rPr>
              <w:t xml:space="preserve">Full </w:t>
            </w:r>
            <w:r w:rsidR="00AF58D3" w:rsidRPr="00B81D1B">
              <w:rPr>
                <w:rFonts w:ascii="Times New Roman" w:hAnsi="Times New Roman" w:cs="Times New Roman"/>
                <w:color w:val="0D0D0D" w:themeColor="text1" w:themeTint="F2"/>
                <w:sz w:val="24"/>
                <w:szCs w:val="24"/>
              </w:rPr>
              <w:t>text</w:t>
            </w:r>
            <w:r w:rsidRPr="00B81D1B">
              <w:rPr>
                <w:rFonts w:ascii="Times New Roman" w:hAnsi="Times New Roman" w:cs="Times New Roman"/>
                <w:color w:val="0D0D0D" w:themeColor="text1" w:themeTint="F2"/>
                <w:sz w:val="24"/>
                <w:szCs w:val="24"/>
              </w:rPr>
              <w:t xml:space="preserve"> paper not available</w:t>
            </w:r>
          </w:p>
        </w:tc>
      </w:tr>
    </w:tbl>
    <w:p w14:paraId="44F2D429" w14:textId="77777777" w:rsidR="008B5BFD" w:rsidRPr="00B81D1B" w:rsidRDefault="008B5BFD" w:rsidP="00B81D1B">
      <w:pPr>
        <w:rPr>
          <w:rFonts w:ascii="Times New Roman" w:hAnsi="Times New Roman" w:cs="Times New Roman"/>
          <w:color w:val="0D0D0D" w:themeColor="text1" w:themeTint="F2"/>
          <w:sz w:val="24"/>
          <w:szCs w:val="24"/>
        </w:rPr>
      </w:pPr>
    </w:p>
    <w:sectPr w:rsidR="008B5BFD" w:rsidRPr="00B81D1B" w:rsidSect="0000149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5A74"/>
    <w:rsid w:val="0000148E"/>
    <w:rsid w:val="00001491"/>
    <w:rsid w:val="0001727F"/>
    <w:rsid w:val="0002164E"/>
    <w:rsid w:val="00023310"/>
    <w:rsid w:val="00024B90"/>
    <w:rsid w:val="00026B50"/>
    <w:rsid w:val="00040E3F"/>
    <w:rsid w:val="00041C20"/>
    <w:rsid w:val="000734B8"/>
    <w:rsid w:val="00081902"/>
    <w:rsid w:val="00081AC3"/>
    <w:rsid w:val="0008214F"/>
    <w:rsid w:val="00082209"/>
    <w:rsid w:val="00082606"/>
    <w:rsid w:val="00082F9D"/>
    <w:rsid w:val="000B53A8"/>
    <w:rsid w:val="000D0348"/>
    <w:rsid w:val="000E1321"/>
    <w:rsid w:val="000E2F24"/>
    <w:rsid w:val="000E6C00"/>
    <w:rsid w:val="001015C8"/>
    <w:rsid w:val="00110AAB"/>
    <w:rsid w:val="001217A5"/>
    <w:rsid w:val="00122A50"/>
    <w:rsid w:val="001276AC"/>
    <w:rsid w:val="0014030B"/>
    <w:rsid w:val="0014211E"/>
    <w:rsid w:val="0014319A"/>
    <w:rsid w:val="001537B7"/>
    <w:rsid w:val="00153F18"/>
    <w:rsid w:val="00154C9C"/>
    <w:rsid w:val="00185BCA"/>
    <w:rsid w:val="001A41D3"/>
    <w:rsid w:val="001B331F"/>
    <w:rsid w:val="001B704F"/>
    <w:rsid w:val="001D459D"/>
    <w:rsid w:val="001E4830"/>
    <w:rsid w:val="001F70D6"/>
    <w:rsid w:val="00212FF3"/>
    <w:rsid w:val="00216596"/>
    <w:rsid w:val="00220B05"/>
    <w:rsid w:val="00233E5E"/>
    <w:rsid w:val="00252919"/>
    <w:rsid w:val="00256BDC"/>
    <w:rsid w:val="00283B27"/>
    <w:rsid w:val="00290986"/>
    <w:rsid w:val="002942B5"/>
    <w:rsid w:val="002B46A6"/>
    <w:rsid w:val="002D480C"/>
    <w:rsid w:val="002E0748"/>
    <w:rsid w:val="002F547A"/>
    <w:rsid w:val="003107E5"/>
    <w:rsid w:val="00323149"/>
    <w:rsid w:val="00351CF9"/>
    <w:rsid w:val="003527B1"/>
    <w:rsid w:val="00357825"/>
    <w:rsid w:val="0036130D"/>
    <w:rsid w:val="00366325"/>
    <w:rsid w:val="00366BE1"/>
    <w:rsid w:val="00366C8C"/>
    <w:rsid w:val="00376BDC"/>
    <w:rsid w:val="0039556E"/>
    <w:rsid w:val="003A2169"/>
    <w:rsid w:val="003C2B2E"/>
    <w:rsid w:val="003E43E9"/>
    <w:rsid w:val="003F1A37"/>
    <w:rsid w:val="0040719A"/>
    <w:rsid w:val="00413CFD"/>
    <w:rsid w:val="004148C5"/>
    <w:rsid w:val="00423ED2"/>
    <w:rsid w:val="0044239E"/>
    <w:rsid w:val="004568BA"/>
    <w:rsid w:val="004570D2"/>
    <w:rsid w:val="004572AE"/>
    <w:rsid w:val="004726F6"/>
    <w:rsid w:val="00473979"/>
    <w:rsid w:val="00476009"/>
    <w:rsid w:val="004A1177"/>
    <w:rsid w:val="004B0F92"/>
    <w:rsid w:val="004B65D3"/>
    <w:rsid w:val="004B6814"/>
    <w:rsid w:val="004C256C"/>
    <w:rsid w:val="004C7DDB"/>
    <w:rsid w:val="004F1ADF"/>
    <w:rsid w:val="004F35E2"/>
    <w:rsid w:val="004F4AB1"/>
    <w:rsid w:val="00503977"/>
    <w:rsid w:val="00542E00"/>
    <w:rsid w:val="00545AC5"/>
    <w:rsid w:val="005467C5"/>
    <w:rsid w:val="005524CD"/>
    <w:rsid w:val="005666C3"/>
    <w:rsid w:val="00580CD7"/>
    <w:rsid w:val="005A2650"/>
    <w:rsid w:val="005A5B4D"/>
    <w:rsid w:val="005B052F"/>
    <w:rsid w:val="005B25D5"/>
    <w:rsid w:val="005B2C83"/>
    <w:rsid w:val="00601CF9"/>
    <w:rsid w:val="006027CD"/>
    <w:rsid w:val="006027F7"/>
    <w:rsid w:val="00630ABA"/>
    <w:rsid w:val="0063501A"/>
    <w:rsid w:val="00645F0E"/>
    <w:rsid w:val="00676E56"/>
    <w:rsid w:val="00682BA5"/>
    <w:rsid w:val="00684BD1"/>
    <w:rsid w:val="0069220F"/>
    <w:rsid w:val="006A2797"/>
    <w:rsid w:val="006A6283"/>
    <w:rsid w:val="006A66BB"/>
    <w:rsid w:val="006A6EA9"/>
    <w:rsid w:val="006A6F83"/>
    <w:rsid w:val="006C5C67"/>
    <w:rsid w:val="006C75A6"/>
    <w:rsid w:val="006D3ECA"/>
    <w:rsid w:val="006E5A74"/>
    <w:rsid w:val="006E5B78"/>
    <w:rsid w:val="006E6E9D"/>
    <w:rsid w:val="00711630"/>
    <w:rsid w:val="00712724"/>
    <w:rsid w:val="007360CE"/>
    <w:rsid w:val="0073798A"/>
    <w:rsid w:val="00751DCB"/>
    <w:rsid w:val="007559D4"/>
    <w:rsid w:val="00777E0F"/>
    <w:rsid w:val="007905A2"/>
    <w:rsid w:val="007921A3"/>
    <w:rsid w:val="0079362E"/>
    <w:rsid w:val="007B35CA"/>
    <w:rsid w:val="007D7653"/>
    <w:rsid w:val="007E2212"/>
    <w:rsid w:val="007E6559"/>
    <w:rsid w:val="007F397D"/>
    <w:rsid w:val="007F5F7F"/>
    <w:rsid w:val="008170D1"/>
    <w:rsid w:val="0083237C"/>
    <w:rsid w:val="00845CCC"/>
    <w:rsid w:val="00845CD4"/>
    <w:rsid w:val="00864FF4"/>
    <w:rsid w:val="00870363"/>
    <w:rsid w:val="0088129C"/>
    <w:rsid w:val="00887999"/>
    <w:rsid w:val="00892A85"/>
    <w:rsid w:val="008A25BC"/>
    <w:rsid w:val="008B36CD"/>
    <w:rsid w:val="008B53A6"/>
    <w:rsid w:val="008B5BFD"/>
    <w:rsid w:val="008C7D6D"/>
    <w:rsid w:val="008E7FE2"/>
    <w:rsid w:val="00926238"/>
    <w:rsid w:val="00930A52"/>
    <w:rsid w:val="00952DC2"/>
    <w:rsid w:val="00965825"/>
    <w:rsid w:val="00973510"/>
    <w:rsid w:val="00976319"/>
    <w:rsid w:val="00991698"/>
    <w:rsid w:val="00992E99"/>
    <w:rsid w:val="009A4529"/>
    <w:rsid w:val="009B0E76"/>
    <w:rsid w:val="009C7B29"/>
    <w:rsid w:val="009D302B"/>
    <w:rsid w:val="009F21EA"/>
    <w:rsid w:val="00A021C2"/>
    <w:rsid w:val="00A05068"/>
    <w:rsid w:val="00A113EC"/>
    <w:rsid w:val="00A20EAB"/>
    <w:rsid w:val="00A3080D"/>
    <w:rsid w:val="00A320A5"/>
    <w:rsid w:val="00A359C4"/>
    <w:rsid w:val="00A463F3"/>
    <w:rsid w:val="00A50279"/>
    <w:rsid w:val="00A7117D"/>
    <w:rsid w:val="00A859DB"/>
    <w:rsid w:val="00AB699D"/>
    <w:rsid w:val="00AC0CF8"/>
    <w:rsid w:val="00AC2C4D"/>
    <w:rsid w:val="00AD6CEE"/>
    <w:rsid w:val="00AE3160"/>
    <w:rsid w:val="00AE31EF"/>
    <w:rsid w:val="00AE47AA"/>
    <w:rsid w:val="00AE565B"/>
    <w:rsid w:val="00AF1295"/>
    <w:rsid w:val="00AF49A1"/>
    <w:rsid w:val="00AF58D3"/>
    <w:rsid w:val="00AF703C"/>
    <w:rsid w:val="00B027A4"/>
    <w:rsid w:val="00B03BAC"/>
    <w:rsid w:val="00B1173D"/>
    <w:rsid w:val="00B11EDB"/>
    <w:rsid w:val="00B23AD5"/>
    <w:rsid w:val="00B27F41"/>
    <w:rsid w:val="00B436BD"/>
    <w:rsid w:val="00B441FE"/>
    <w:rsid w:val="00B456FA"/>
    <w:rsid w:val="00B550BD"/>
    <w:rsid w:val="00B6335C"/>
    <w:rsid w:val="00B66FAE"/>
    <w:rsid w:val="00B71A0C"/>
    <w:rsid w:val="00B71C3C"/>
    <w:rsid w:val="00B81D1B"/>
    <w:rsid w:val="00B87BED"/>
    <w:rsid w:val="00B87D45"/>
    <w:rsid w:val="00B94B30"/>
    <w:rsid w:val="00BA66A1"/>
    <w:rsid w:val="00BD21D6"/>
    <w:rsid w:val="00BF7737"/>
    <w:rsid w:val="00C02221"/>
    <w:rsid w:val="00C15FD0"/>
    <w:rsid w:val="00C21D22"/>
    <w:rsid w:val="00C4346B"/>
    <w:rsid w:val="00C5042B"/>
    <w:rsid w:val="00C54C8D"/>
    <w:rsid w:val="00C65F76"/>
    <w:rsid w:val="00C837F7"/>
    <w:rsid w:val="00C96DA2"/>
    <w:rsid w:val="00CA54CE"/>
    <w:rsid w:val="00CB58F8"/>
    <w:rsid w:val="00CC144B"/>
    <w:rsid w:val="00CC2C34"/>
    <w:rsid w:val="00CC724D"/>
    <w:rsid w:val="00CC752C"/>
    <w:rsid w:val="00CD4858"/>
    <w:rsid w:val="00CE09ED"/>
    <w:rsid w:val="00D117A1"/>
    <w:rsid w:val="00D2116C"/>
    <w:rsid w:val="00D35B68"/>
    <w:rsid w:val="00D57D2C"/>
    <w:rsid w:val="00D67CE3"/>
    <w:rsid w:val="00D75C4E"/>
    <w:rsid w:val="00D92C2D"/>
    <w:rsid w:val="00D95D17"/>
    <w:rsid w:val="00DA145E"/>
    <w:rsid w:val="00DB17B6"/>
    <w:rsid w:val="00DB3BA2"/>
    <w:rsid w:val="00DC0000"/>
    <w:rsid w:val="00DF7A95"/>
    <w:rsid w:val="00E023B3"/>
    <w:rsid w:val="00E161FB"/>
    <w:rsid w:val="00E25501"/>
    <w:rsid w:val="00E33B70"/>
    <w:rsid w:val="00E54EE5"/>
    <w:rsid w:val="00E611EB"/>
    <w:rsid w:val="00E9125D"/>
    <w:rsid w:val="00E96B27"/>
    <w:rsid w:val="00EA20C2"/>
    <w:rsid w:val="00EA20FA"/>
    <w:rsid w:val="00EA3688"/>
    <w:rsid w:val="00EA54DF"/>
    <w:rsid w:val="00EB7867"/>
    <w:rsid w:val="00ED3200"/>
    <w:rsid w:val="00EE2812"/>
    <w:rsid w:val="00EE39FC"/>
    <w:rsid w:val="00EE6C24"/>
    <w:rsid w:val="00EE7878"/>
    <w:rsid w:val="00F077BD"/>
    <w:rsid w:val="00F12BD4"/>
    <w:rsid w:val="00F130AA"/>
    <w:rsid w:val="00F34E15"/>
    <w:rsid w:val="00F36E85"/>
    <w:rsid w:val="00F56652"/>
    <w:rsid w:val="00F643DA"/>
    <w:rsid w:val="00F7437E"/>
    <w:rsid w:val="00F93342"/>
    <w:rsid w:val="00FA34B7"/>
    <w:rsid w:val="00FB5905"/>
    <w:rsid w:val="00FD78A8"/>
    <w:rsid w:val="00FE0947"/>
    <w:rsid w:val="00FE1F15"/>
    <w:rsid w:val="00FE7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2D121"/>
  <w15:docId w15:val="{1D236CA3-C91F-40D6-BB68-E90A80D9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A7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styleId="Hyperlink">
    <w:name w:val="Hyperlink"/>
    <w:basedOn w:val="DefaultParagraphFont"/>
    <w:uiPriority w:val="99"/>
    <w:unhideWhenUsed/>
    <w:rsid w:val="006E5A74"/>
    <w:rPr>
      <w:color w:val="0000FF"/>
      <w:u w:val="single"/>
    </w:rPr>
  </w:style>
  <w:style w:type="paragraph" w:styleId="Title">
    <w:name w:val="Title"/>
    <w:basedOn w:val="Normal"/>
    <w:link w:val="TitleChar"/>
    <w:uiPriority w:val="10"/>
    <w:qFormat/>
    <w:rsid w:val="002942B5"/>
    <w:pPr>
      <w:widowControl w:val="0"/>
      <w:autoSpaceDE w:val="0"/>
      <w:autoSpaceDN w:val="0"/>
      <w:spacing w:before="81" w:after="0" w:line="240" w:lineRule="auto"/>
      <w:ind w:left="1559" w:right="2061"/>
      <w:jc w:val="center"/>
    </w:pPr>
    <w:rPr>
      <w:rFonts w:ascii="Calibri" w:eastAsia="Calibri" w:hAnsi="Calibri" w:cs="Calibri"/>
      <w:b/>
      <w:bCs/>
      <w:sz w:val="21"/>
      <w:szCs w:val="21"/>
    </w:rPr>
  </w:style>
  <w:style w:type="character" w:customStyle="1" w:styleId="TitleChar">
    <w:name w:val="Title Char"/>
    <w:basedOn w:val="DefaultParagraphFont"/>
    <w:link w:val="Title"/>
    <w:uiPriority w:val="10"/>
    <w:rsid w:val="002942B5"/>
    <w:rPr>
      <w:rFonts w:ascii="Calibri" w:eastAsia="Calibri" w:hAnsi="Calibri" w:cs="Calibri"/>
      <w:b/>
      <w:bCs/>
      <w:sz w:val="21"/>
      <w:szCs w:val="21"/>
    </w:rPr>
  </w:style>
  <w:style w:type="paragraph" w:customStyle="1" w:styleId="TableParagraph">
    <w:name w:val="Table Paragraph"/>
    <w:basedOn w:val="Normal"/>
    <w:uiPriority w:val="1"/>
    <w:qFormat/>
    <w:rsid w:val="00023310"/>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13543">
      <w:bodyDiv w:val="1"/>
      <w:marLeft w:val="0"/>
      <w:marRight w:val="0"/>
      <w:marTop w:val="0"/>
      <w:marBottom w:val="0"/>
      <w:divBdr>
        <w:top w:val="none" w:sz="0" w:space="0" w:color="auto"/>
        <w:left w:val="none" w:sz="0" w:space="0" w:color="auto"/>
        <w:bottom w:val="none" w:sz="0" w:space="0" w:color="auto"/>
        <w:right w:val="none" w:sz="0" w:space="0" w:color="auto"/>
      </w:divBdr>
      <w:divsChild>
        <w:div w:id="583884347">
          <w:marLeft w:val="0"/>
          <w:marRight w:val="0"/>
          <w:marTop w:val="0"/>
          <w:marBottom w:val="0"/>
          <w:divBdr>
            <w:top w:val="none" w:sz="0" w:space="0" w:color="auto"/>
            <w:left w:val="none" w:sz="0" w:space="0" w:color="auto"/>
            <w:bottom w:val="none" w:sz="0" w:space="0" w:color="auto"/>
            <w:right w:val="none" w:sz="0" w:space="0" w:color="auto"/>
          </w:divBdr>
          <w:divsChild>
            <w:div w:id="180439857">
              <w:marLeft w:val="0"/>
              <w:marRight w:val="0"/>
              <w:marTop w:val="0"/>
              <w:marBottom w:val="0"/>
              <w:divBdr>
                <w:top w:val="none" w:sz="0" w:space="0" w:color="auto"/>
                <w:left w:val="none" w:sz="0" w:space="0" w:color="auto"/>
                <w:bottom w:val="none" w:sz="0" w:space="0" w:color="auto"/>
                <w:right w:val="none" w:sz="0" w:space="0" w:color="auto"/>
              </w:divBdr>
              <w:divsChild>
                <w:div w:id="20479452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6802016">
      <w:bodyDiv w:val="1"/>
      <w:marLeft w:val="0"/>
      <w:marRight w:val="0"/>
      <w:marTop w:val="0"/>
      <w:marBottom w:val="0"/>
      <w:divBdr>
        <w:top w:val="none" w:sz="0" w:space="0" w:color="auto"/>
        <w:left w:val="none" w:sz="0" w:space="0" w:color="auto"/>
        <w:bottom w:val="none" w:sz="0" w:space="0" w:color="auto"/>
        <w:right w:val="none" w:sz="0" w:space="0" w:color="auto"/>
      </w:divBdr>
      <w:divsChild>
        <w:div w:id="972439537">
          <w:marLeft w:val="0"/>
          <w:marRight w:val="0"/>
          <w:marTop w:val="0"/>
          <w:marBottom w:val="0"/>
          <w:divBdr>
            <w:top w:val="none" w:sz="0" w:space="0" w:color="auto"/>
            <w:left w:val="none" w:sz="0" w:space="0" w:color="auto"/>
            <w:bottom w:val="none" w:sz="0" w:space="0" w:color="auto"/>
            <w:right w:val="none" w:sz="0" w:space="0" w:color="auto"/>
          </w:divBdr>
          <w:divsChild>
            <w:div w:id="268851288">
              <w:marLeft w:val="0"/>
              <w:marRight w:val="0"/>
              <w:marTop w:val="0"/>
              <w:marBottom w:val="0"/>
              <w:divBdr>
                <w:top w:val="none" w:sz="0" w:space="0" w:color="auto"/>
                <w:left w:val="none" w:sz="0" w:space="0" w:color="auto"/>
                <w:bottom w:val="none" w:sz="0" w:space="0" w:color="auto"/>
                <w:right w:val="none" w:sz="0" w:space="0" w:color="auto"/>
              </w:divBdr>
              <w:divsChild>
                <w:div w:id="140483258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base.com/search/results?subaction=viewrecord&amp;id=L614309298&amp;from=export" TargetMode="External"/><Relationship Id="rId3" Type="http://schemas.openxmlformats.org/officeDocument/2006/relationships/settings" Target="settings.xml"/><Relationship Id="rId7" Type="http://schemas.openxmlformats.org/officeDocument/2006/relationships/hyperlink" Target="https://www.embase.com/search/results?subaction=viewrecord&amp;id=L71265032&amp;from=expor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mbase.com/search/results?subaction=viewrecord&amp;id=L70961817&amp;from=export" TargetMode="External"/><Relationship Id="rId11" Type="http://schemas.openxmlformats.org/officeDocument/2006/relationships/theme" Target="theme/theme1.xml"/><Relationship Id="rId5" Type="http://schemas.openxmlformats.org/officeDocument/2006/relationships/hyperlink" Target="https://www.embase.com/search/results?subaction=viewrecord&amp;id=L620385243&amp;from=expo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base.com/search/results?subaction=viewrecord&amp;id=L72319287&amp;from=ex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F888-576B-4C5C-B122-6BCF558A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11</Pages>
  <Words>3519</Words>
  <Characters>20624</Characters>
  <Application>Microsoft Office Word</Application>
  <DocSecurity>0</DocSecurity>
  <Lines>896</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Sikha Morang</cp:lastModifiedBy>
  <cp:revision>255</cp:revision>
  <dcterms:created xsi:type="dcterms:W3CDTF">2022-05-12T16:26:00Z</dcterms:created>
  <dcterms:modified xsi:type="dcterms:W3CDTF">2024-06-04T09:14:00Z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3e429bd318e480779ecd3a2df343100dbc25206e3f3e34c382007e3cb06ccc23</vt:lpwstr>
  </property>
</Properties>
</file>