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1A85" w14:textId="77777777" w:rsidR="00B50F86" w:rsidRPr="00B50F86" w:rsidRDefault="00B50F86" w:rsidP="00B50F8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B50F86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Table S1. Association between pathologic response and planar/SPECT metrics.</w:t>
      </w:r>
    </w:p>
    <w:p w14:paraId="28A71FEF" w14:textId="77777777" w:rsidR="00B50F86" w:rsidRPr="00B50F86" w:rsidRDefault="00B50F86" w:rsidP="00B50F8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249"/>
        <w:gridCol w:w="1371"/>
        <w:gridCol w:w="2154"/>
        <w:gridCol w:w="1530"/>
        <w:gridCol w:w="2044"/>
        <w:gridCol w:w="1002"/>
      </w:tblGrid>
      <w:tr w:rsidR="00B50F86" w:rsidRPr="00B50F86" w14:paraId="272BDF9B" w14:textId="77777777" w:rsidTr="00E538E6">
        <w:trPr>
          <w:trHeight w:val="300"/>
        </w:trPr>
        <w:tc>
          <w:tcPr>
            <w:tcW w:w="668" w:type="pct"/>
            <w:vMerge w:val="restart"/>
            <w:vAlign w:val="center"/>
          </w:tcPr>
          <w:p w14:paraId="2E80CF78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Modality</w:t>
            </w:r>
          </w:p>
        </w:tc>
        <w:tc>
          <w:tcPr>
            <w:tcW w:w="733" w:type="pct"/>
            <w:vMerge w:val="restart"/>
            <w:vAlign w:val="center"/>
          </w:tcPr>
          <w:p w14:paraId="1EA3F88D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Timing</w:t>
            </w:r>
          </w:p>
        </w:tc>
        <w:tc>
          <w:tcPr>
            <w:tcW w:w="1152" w:type="pct"/>
            <w:vMerge w:val="restart"/>
            <w:vAlign w:val="center"/>
          </w:tcPr>
          <w:p w14:paraId="1382F76B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Derived Metric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225A6E35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Responders 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vAlign w:val="center"/>
          </w:tcPr>
          <w:p w14:paraId="0242B2C9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Non-Responders</w:t>
            </w:r>
          </w:p>
        </w:tc>
        <w:tc>
          <w:tcPr>
            <w:tcW w:w="537" w:type="pct"/>
            <w:noWrap/>
            <w:vAlign w:val="center"/>
          </w:tcPr>
          <w:p w14:paraId="53D18017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B50F86" w:rsidRPr="00B50F86" w14:paraId="3A49BE16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592E0158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54F6641C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Merge/>
            <w:vAlign w:val="center"/>
          </w:tcPr>
          <w:p w14:paraId="0B6B6988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32BC3457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(n = 3)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7930AE57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(n = 18)</w:t>
            </w:r>
          </w:p>
        </w:tc>
        <w:tc>
          <w:tcPr>
            <w:tcW w:w="537" w:type="pct"/>
            <w:noWrap/>
            <w:vAlign w:val="center"/>
            <w:hideMark/>
          </w:tcPr>
          <w:p w14:paraId="5B9D3D69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B50F86" w:rsidRPr="00B50F86" w14:paraId="39308100" w14:textId="77777777" w:rsidTr="00E538E6">
        <w:trPr>
          <w:trHeight w:val="300"/>
        </w:trPr>
        <w:tc>
          <w:tcPr>
            <w:tcW w:w="668" w:type="pct"/>
            <w:vMerge w:val="restart"/>
            <w:vAlign w:val="center"/>
          </w:tcPr>
          <w:p w14:paraId="3A0E1CC5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Planar</w:t>
            </w:r>
          </w:p>
        </w:tc>
        <w:tc>
          <w:tcPr>
            <w:tcW w:w="733" w:type="pct"/>
            <w:vMerge w:val="restart"/>
            <w:vAlign w:val="center"/>
          </w:tcPr>
          <w:p w14:paraId="4A72960C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Pre-NACT</w:t>
            </w:r>
          </w:p>
        </w:tc>
        <w:tc>
          <w:tcPr>
            <w:tcW w:w="1152" w:type="pct"/>
            <w:vAlign w:val="center"/>
          </w:tcPr>
          <w:p w14:paraId="28F31417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Early LNL Ratio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10568602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3.3±1.9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625FB16C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4.1±2.8</w:t>
            </w:r>
          </w:p>
        </w:tc>
        <w:tc>
          <w:tcPr>
            <w:tcW w:w="537" w:type="pct"/>
            <w:noWrap/>
            <w:vAlign w:val="center"/>
            <w:hideMark/>
          </w:tcPr>
          <w:p w14:paraId="0C266D01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0.528</w:t>
            </w:r>
          </w:p>
        </w:tc>
      </w:tr>
      <w:tr w:rsidR="00B50F86" w:rsidRPr="00B50F86" w14:paraId="436C9CA9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14D1BB56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4D0CA004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Align w:val="center"/>
          </w:tcPr>
          <w:p w14:paraId="7863A81E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Delayed LNL Ratio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223591F8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2.8±0.9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7C2D8F5D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3.3±1.7</w:t>
            </w:r>
          </w:p>
        </w:tc>
        <w:tc>
          <w:tcPr>
            <w:tcW w:w="537" w:type="pct"/>
            <w:noWrap/>
            <w:vAlign w:val="center"/>
            <w:hideMark/>
          </w:tcPr>
          <w:p w14:paraId="7AE1CC6E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0.853</w:t>
            </w:r>
          </w:p>
        </w:tc>
      </w:tr>
      <w:tr w:rsidR="00B50F86" w:rsidRPr="00B50F86" w14:paraId="4691C643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38C2CD3F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2448B92A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Align w:val="center"/>
          </w:tcPr>
          <w:p w14:paraId="14F43A7B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Retention Index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78743954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-5.0±30.3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1DC831A5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-10.7±27.2</w:t>
            </w:r>
          </w:p>
        </w:tc>
        <w:tc>
          <w:tcPr>
            <w:tcW w:w="537" w:type="pct"/>
            <w:noWrap/>
            <w:vAlign w:val="center"/>
            <w:hideMark/>
          </w:tcPr>
          <w:p w14:paraId="24255099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0.882</w:t>
            </w:r>
          </w:p>
        </w:tc>
      </w:tr>
      <w:tr w:rsidR="00B50F86" w:rsidRPr="00B50F86" w14:paraId="025B7DE1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616FD985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 w:val="restart"/>
            <w:vAlign w:val="center"/>
          </w:tcPr>
          <w:p w14:paraId="1AF8B3B6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Post-NACT</w:t>
            </w:r>
          </w:p>
        </w:tc>
        <w:tc>
          <w:tcPr>
            <w:tcW w:w="1152" w:type="pct"/>
            <w:vAlign w:val="center"/>
          </w:tcPr>
          <w:p w14:paraId="52131246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Early LNL Ratio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40B0FA5F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1.0±0.1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6081DA6A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3.7±3.7</w:t>
            </w:r>
          </w:p>
        </w:tc>
        <w:tc>
          <w:tcPr>
            <w:tcW w:w="537" w:type="pct"/>
            <w:noWrap/>
            <w:vAlign w:val="center"/>
          </w:tcPr>
          <w:p w14:paraId="70A4EE6B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0.023*</w:t>
            </w:r>
          </w:p>
        </w:tc>
      </w:tr>
      <w:tr w:rsidR="00B50F86" w:rsidRPr="00B50F86" w14:paraId="461960F2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0AF8CFB9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06459B6B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Align w:val="center"/>
          </w:tcPr>
          <w:p w14:paraId="37680C9D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Delayed LNL Ratio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2DB8A8D3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1.7±0.3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203165AB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3.4±3.2</w:t>
            </w:r>
          </w:p>
        </w:tc>
        <w:tc>
          <w:tcPr>
            <w:tcW w:w="537" w:type="pct"/>
            <w:noWrap/>
            <w:vAlign w:val="center"/>
          </w:tcPr>
          <w:p w14:paraId="221621BF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0.338</w:t>
            </w:r>
          </w:p>
        </w:tc>
      </w:tr>
      <w:tr w:rsidR="00B50F86" w:rsidRPr="00B50F86" w14:paraId="171EF001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56A90578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2D43B977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Align w:val="center"/>
          </w:tcPr>
          <w:p w14:paraId="1A2EE126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Retention Index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13803D42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76.5±7.8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39BAC746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-2.2±34.5</w:t>
            </w:r>
          </w:p>
        </w:tc>
        <w:tc>
          <w:tcPr>
            <w:tcW w:w="537" w:type="pct"/>
            <w:noWrap/>
            <w:vAlign w:val="center"/>
          </w:tcPr>
          <w:p w14:paraId="4D7B880B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0.023*</w:t>
            </w:r>
          </w:p>
        </w:tc>
      </w:tr>
      <w:tr w:rsidR="00B50F86" w:rsidRPr="00B50F86" w14:paraId="6FB0DC94" w14:textId="77777777" w:rsidTr="00E538E6">
        <w:trPr>
          <w:trHeight w:val="300"/>
        </w:trPr>
        <w:tc>
          <w:tcPr>
            <w:tcW w:w="668" w:type="pct"/>
            <w:vMerge w:val="restart"/>
            <w:vAlign w:val="center"/>
          </w:tcPr>
          <w:p w14:paraId="18EA2052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SPECT</w:t>
            </w:r>
          </w:p>
        </w:tc>
        <w:tc>
          <w:tcPr>
            <w:tcW w:w="733" w:type="pct"/>
            <w:vMerge w:val="restart"/>
            <w:vAlign w:val="center"/>
          </w:tcPr>
          <w:p w14:paraId="68E6A7FA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Pre-NACT</w:t>
            </w:r>
          </w:p>
        </w:tc>
        <w:tc>
          <w:tcPr>
            <w:tcW w:w="1152" w:type="pct"/>
            <w:vAlign w:val="center"/>
          </w:tcPr>
          <w:p w14:paraId="73C718E1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Early LNL Ratio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381261A1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11.7±5.9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34383AED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42.3±46.6</w:t>
            </w:r>
          </w:p>
        </w:tc>
        <w:tc>
          <w:tcPr>
            <w:tcW w:w="537" w:type="pct"/>
            <w:noWrap/>
            <w:vAlign w:val="center"/>
            <w:hideMark/>
          </w:tcPr>
          <w:p w14:paraId="6C395CFA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0.139</w:t>
            </w:r>
          </w:p>
        </w:tc>
      </w:tr>
      <w:tr w:rsidR="00B50F86" w:rsidRPr="00B50F86" w14:paraId="255969F1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6F0AFA0C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132787F0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Align w:val="center"/>
          </w:tcPr>
          <w:p w14:paraId="6E96B31D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Delayed LNL Ratio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266250D4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13±6.7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24C3A112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34.6±44.3</w:t>
            </w:r>
          </w:p>
        </w:tc>
        <w:tc>
          <w:tcPr>
            <w:tcW w:w="537" w:type="pct"/>
            <w:noWrap/>
            <w:vAlign w:val="center"/>
            <w:hideMark/>
          </w:tcPr>
          <w:p w14:paraId="0006F108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0.195</w:t>
            </w:r>
          </w:p>
        </w:tc>
      </w:tr>
      <w:tr w:rsidR="00B50F86" w:rsidRPr="00B50F86" w14:paraId="78CB7EAD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72421891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6CB56E3B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Align w:val="center"/>
          </w:tcPr>
          <w:p w14:paraId="0752BB82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Retention Index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0BF01743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11.5±0.7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14B91F30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5.4±117.4</w:t>
            </w:r>
          </w:p>
        </w:tc>
        <w:tc>
          <w:tcPr>
            <w:tcW w:w="537" w:type="pct"/>
            <w:noWrap/>
            <w:vAlign w:val="center"/>
            <w:hideMark/>
          </w:tcPr>
          <w:p w14:paraId="1CEE309B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0.229</w:t>
            </w:r>
          </w:p>
        </w:tc>
      </w:tr>
      <w:tr w:rsidR="00B50F86" w:rsidRPr="00B50F86" w14:paraId="089E1C16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31C7A0EB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 w:val="restart"/>
            <w:vAlign w:val="center"/>
          </w:tcPr>
          <w:p w14:paraId="52752AC4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Post-NACT</w:t>
            </w:r>
          </w:p>
        </w:tc>
        <w:tc>
          <w:tcPr>
            <w:tcW w:w="1152" w:type="pct"/>
            <w:vAlign w:val="center"/>
          </w:tcPr>
          <w:p w14:paraId="73F68169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Early LNL Ratio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52CF7BAD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4.4±2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7CC8704A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15.6±17.2</w:t>
            </w:r>
          </w:p>
        </w:tc>
        <w:tc>
          <w:tcPr>
            <w:tcW w:w="537" w:type="pct"/>
            <w:noWrap/>
            <w:vAlign w:val="center"/>
          </w:tcPr>
          <w:p w14:paraId="3088BBEC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0.055</w:t>
            </w: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#</w:t>
            </w:r>
          </w:p>
        </w:tc>
      </w:tr>
      <w:tr w:rsidR="00B50F86" w:rsidRPr="00B50F86" w14:paraId="13048D46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34A8392E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34A6749A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Align w:val="center"/>
          </w:tcPr>
          <w:p w14:paraId="70D3F815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Delayed LNL Ratio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0EE12A0E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3.9±0.3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6F170844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19.3±17.2</w:t>
            </w:r>
          </w:p>
        </w:tc>
        <w:tc>
          <w:tcPr>
            <w:tcW w:w="537" w:type="pct"/>
            <w:noWrap/>
            <w:vAlign w:val="center"/>
          </w:tcPr>
          <w:p w14:paraId="61A506D9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0.042*</w:t>
            </w:r>
          </w:p>
        </w:tc>
      </w:tr>
      <w:tr w:rsidR="00B50F86" w:rsidRPr="00B50F86" w14:paraId="0B3632E7" w14:textId="77777777" w:rsidTr="00E538E6">
        <w:trPr>
          <w:trHeight w:val="300"/>
        </w:trPr>
        <w:tc>
          <w:tcPr>
            <w:tcW w:w="668" w:type="pct"/>
            <w:vMerge/>
            <w:vAlign w:val="center"/>
          </w:tcPr>
          <w:p w14:paraId="30AC731F" w14:textId="77777777" w:rsidR="00B50F86" w:rsidRPr="00B50F86" w:rsidRDefault="00B50F86" w:rsidP="00B50F86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33" w:type="pct"/>
            <w:vMerge/>
            <w:vAlign w:val="center"/>
          </w:tcPr>
          <w:p w14:paraId="62C94B0B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152" w:type="pct"/>
            <w:vAlign w:val="center"/>
          </w:tcPr>
          <w:p w14:paraId="5F50DC94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Retention Index </w:t>
            </w:r>
          </w:p>
        </w:tc>
        <w:tc>
          <w:tcPr>
            <w:tcW w:w="818" w:type="pct"/>
            <w:tcBorders>
              <w:right w:val="single" w:sz="4" w:space="0" w:color="BFBFBF"/>
            </w:tcBorders>
            <w:vAlign w:val="center"/>
          </w:tcPr>
          <w:p w14:paraId="3C2B1612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-2.5±38.9</w:t>
            </w:r>
          </w:p>
        </w:tc>
        <w:tc>
          <w:tcPr>
            <w:tcW w:w="1093" w:type="pct"/>
            <w:tcBorders>
              <w:left w:val="single" w:sz="4" w:space="0" w:color="BFBFBF"/>
            </w:tcBorders>
            <w:noWrap/>
            <w:vAlign w:val="center"/>
          </w:tcPr>
          <w:p w14:paraId="5BFA977D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63.2±147.3</w:t>
            </w:r>
          </w:p>
        </w:tc>
        <w:tc>
          <w:tcPr>
            <w:tcW w:w="537" w:type="pct"/>
            <w:noWrap/>
            <w:vAlign w:val="center"/>
          </w:tcPr>
          <w:p w14:paraId="37928647" w14:textId="77777777" w:rsidR="00B50F86" w:rsidRPr="00B50F86" w:rsidRDefault="00B50F86" w:rsidP="00B50F86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B50F86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0.529</w:t>
            </w:r>
          </w:p>
        </w:tc>
      </w:tr>
    </w:tbl>
    <w:p w14:paraId="394B8AFB" w14:textId="77777777" w:rsidR="00B50F86" w:rsidRPr="00B50F86" w:rsidRDefault="00B50F86" w:rsidP="00B50F86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14:ligatures w14:val="none"/>
        </w:rPr>
      </w:pPr>
      <w:r w:rsidRPr="00B50F86">
        <w:rPr>
          <w:rFonts w:ascii="Calibri" w:eastAsia="Times New Roman" w:hAnsi="Calibri" w:cs="Calibri"/>
          <w:kern w:val="0"/>
          <w:sz w:val="18"/>
          <w:szCs w:val="18"/>
          <w14:ligatures w14:val="none"/>
        </w:rPr>
        <w:t>Responders were having complete pathological response according to Millar grade.</w:t>
      </w:r>
    </w:p>
    <w:p w14:paraId="221F8877" w14:textId="77777777" w:rsidR="00B50F86" w:rsidRPr="00B50F86" w:rsidRDefault="00B50F86" w:rsidP="00B50F86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</w:pPr>
      <w:r w:rsidRPr="00B50F86">
        <w:rPr>
          <w:rFonts w:ascii="Calibri" w:eastAsia="Times New Roman" w:hAnsi="Calibri" w:cs="Calibri"/>
          <w:kern w:val="0"/>
          <w:sz w:val="18"/>
          <w:szCs w:val="18"/>
          <w14:ligatures w14:val="none"/>
        </w:rPr>
        <w:t xml:space="preserve">Numbers were expressed as </w:t>
      </w:r>
      <w:proofErr w:type="spellStart"/>
      <w:r w:rsidRPr="00B50F86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Mean±</w:t>
      </w:r>
      <w:proofErr w:type="gramStart"/>
      <w:r w:rsidRPr="00B50F86">
        <w:rPr>
          <w:rFonts w:ascii="Calibri" w:eastAsia="Times New Roman" w:hAnsi="Calibri" w:cs="Calibri"/>
          <w:color w:val="000000"/>
          <w:kern w:val="0"/>
          <w:sz w:val="18"/>
          <w:szCs w:val="18"/>
          <w14:ligatures w14:val="none"/>
        </w:rPr>
        <w:t>SD</w:t>
      </w:r>
      <w:proofErr w:type="spellEnd"/>
      <w:proofErr w:type="gramEnd"/>
    </w:p>
    <w:p w14:paraId="73E12D74" w14:textId="77777777" w:rsidR="009730C8" w:rsidRDefault="009730C8" w:rsidP="009730C8">
      <w:pPr>
        <w:spacing w:before="120" w:after="120" w:line="360" w:lineRule="auto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00C11558" w14:textId="76A004B3" w:rsidR="009730C8" w:rsidRPr="009730C8" w:rsidRDefault="009730C8" w:rsidP="009730C8">
      <w:pPr>
        <w:spacing w:before="120" w:after="120" w:line="36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</w:pPr>
      <w:r w:rsidRPr="009730C8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Table S2. </w:t>
      </w:r>
      <w:r w:rsidRPr="009730C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 xml:space="preserve">Diagnostic performance for SPECT/CT vs. Planar (considering only PCR as the negative category in the reference standard) in detecting residual </w:t>
      </w:r>
      <w:proofErr w:type="gramStart"/>
      <w:r w:rsidRPr="009730C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tumor</w:t>
      </w:r>
      <w:proofErr w:type="gramEnd"/>
    </w:p>
    <w:p w14:paraId="0A5C857F" w14:textId="77777777" w:rsidR="009730C8" w:rsidRPr="009730C8" w:rsidRDefault="009730C8" w:rsidP="009730C8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14:ligatures w14:val="none"/>
        </w:rPr>
      </w:pPr>
    </w:p>
    <w:tbl>
      <w:tblPr>
        <w:tblStyle w:val="TableGridLight1"/>
        <w:tblW w:w="5000" w:type="pct"/>
        <w:tblLook w:val="04A0" w:firstRow="1" w:lastRow="0" w:firstColumn="1" w:lastColumn="0" w:noHBand="0" w:noVBand="1"/>
      </w:tblPr>
      <w:tblGrid>
        <w:gridCol w:w="1297"/>
        <w:gridCol w:w="1038"/>
        <w:gridCol w:w="516"/>
        <w:gridCol w:w="516"/>
        <w:gridCol w:w="516"/>
        <w:gridCol w:w="516"/>
        <w:gridCol w:w="939"/>
        <w:gridCol w:w="939"/>
        <w:gridCol w:w="885"/>
        <w:gridCol w:w="896"/>
        <w:gridCol w:w="1292"/>
      </w:tblGrid>
      <w:tr w:rsidR="009730C8" w:rsidRPr="009730C8" w14:paraId="67083EA1" w14:textId="77777777" w:rsidTr="00E538E6">
        <w:trPr>
          <w:trHeight w:val="260"/>
        </w:trPr>
        <w:tc>
          <w:tcPr>
            <w:tcW w:w="694" w:type="pct"/>
            <w:noWrap/>
            <w:vAlign w:val="center"/>
            <w:hideMark/>
          </w:tcPr>
          <w:p w14:paraId="1A7A1947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Reading</w:t>
            </w:r>
          </w:p>
        </w:tc>
        <w:tc>
          <w:tcPr>
            <w:tcW w:w="555" w:type="pct"/>
            <w:noWrap/>
            <w:vAlign w:val="center"/>
            <w:hideMark/>
          </w:tcPr>
          <w:p w14:paraId="59288A5A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Modality</w:t>
            </w:r>
          </w:p>
        </w:tc>
        <w:tc>
          <w:tcPr>
            <w:tcW w:w="276" w:type="pct"/>
            <w:noWrap/>
            <w:vAlign w:val="center"/>
            <w:hideMark/>
          </w:tcPr>
          <w:p w14:paraId="035080D1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TP</w:t>
            </w:r>
          </w:p>
        </w:tc>
        <w:tc>
          <w:tcPr>
            <w:tcW w:w="276" w:type="pct"/>
            <w:noWrap/>
            <w:vAlign w:val="center"/>
            <w:hideMark/>
          </w:tcPr>
          <w:p w14:paraId="426A931D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TN</w:t>
            </w:r>
          </w:p>
        </w:tc>
        <w:tc>
          <w:tcPr>
            <w:tcW w:w="276" w:type="pct"/>
            <w:noWrap/>
            <w:vAlign w:val="center"/>
            <w:hideMark/>
          </w:tcPr>
          <w:p w14:paraId="0D9A9A6E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FP</w:t>
            </w:r>
          </w:p>
        </w:tc>
        <w:tc>
          <w:tcPr>
            <w:tcW w:w="276" w:type="pct"/>
            <w:noWrap/>
            <w:vAlign w:val="center"/>
            <w:hideMark/>
          </w:tcPr>
          <w:p w14:paraId="7F231EBC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FN</w:t>
            </w:r>
          </w:p>
        </w:tc>
        <w:tc>
          <w:tcPr>
            <w:tcW w:w="502" w:type="pct"/>
            <w:noWrap/>
            <w:vAlign w:val="center"/>
          </w:tcPr>
          <w:p w14:paraId="015F1C05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Sens%</w:t>
            </w:r>
          </w:p>
        </w:tc>
        <w:tc>
          <w:tcPr>
            <w:tcW w:w="502" w:type="pct"/>
            <w:noWrap/>
            <w:vAlign w:val="center"/>
            <w:hideMark/>
          </w:tcPr>
          <w:p w14:paraId="38C299E6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Spec%</w:t>
            </w:r>
          </w:p>
        </w:tc>
        <w:tc>
          <w:tcPr>
            <w:tcW w:w="473" w:type="pct"/>
            <w:noWrap/>
            <w:vAlign w:val="center"/>
            <w:hideMark/>
          </w:tcPr>
          <w:p w14:paraId="1C96DB3C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PPV%</w:t>
            </w:r>
          </w:p>
        </w:tc>
        <w:tc>
          <w:tcPr>
            <w:tcW w:w="479" w:type="pct"/>
            <w:noWrap/>
            <w:vAlign w:val="center"/>
            <w:hideMark/>
          </w:tcPr>
          <w:p w14:paraId="62654118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NPV%</w:t>
            </w:r>
          </w:p>
        </w:tc>
        <w:tc>
          <w:tcPr>
            <w:tcW w:w="691" w:type="pct"/>
            <w:noWrap/>
            <w:vAlign w:val="center"/>
            <w:hideMark/>
          </w:tcPr>
          <w:p w14:paraId="617F2DAD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Accuracy%</w:t>
            </w:r>
          </w:p>
        </w:tc>
      </w:tr>
      <w:tr w:rsidR="009730C8" w:rsidRPr="009730C8" w14:paraId="198DC6B0" w14:textId="77777777" w:rsidTr="00E538E6">
        <w:trPr>
          <w:trHeight w:val="260"/>
        </w:trPr>
        <w:tc>
          <w:tcPr>
            <w:tcW w:w="694" w:type="pct"/>
            <w:noWrap/>
            <w:vAlign w:val="center"/>
            <w:hideMark/>
          </w:tcPr>
          <w:p w14:paraId="42579F33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Reader 1</w:t>
            </w:r>
          </w:p>
        </w:tc>
        <w:tc>
          <w:tcPr>
            <w:tcW w:w="555" w:type="pct"/>
            <w:noWrap/>
            <w:vAlign w:val="center"/>
            <w:hideMark/>
          </w:tcPr>
          <w:p w14:paraId="368332E8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SPECT</w:t>
            </w:r>
          </w:p>
        </w:tc>
        <w:tc>
          <w:tcPr>
            <w:tcW w:w="276" w:type="pct"/>
            <w:noWrap/>
            <w:vAlign w:val="center"/>
            <w:hideMark/>
          </w:tcPr>
          <w:p w14:paraId="6244BDC7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276" w:type="pct"/>
            <w:noWrap/>
            <w:vAlign w:val="center"/>
            <w:hideMark/>
          </w:tcPr>
          <w:p w14:paraId="023170C9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</w:p>
        </w:tc>
        <w:tc>
          <w:tcPr>
            <w:tcW w:w="276" w:type="pct"/>
            <w:noWrap/>
            <w:vAlign w:val="center"/>
            <w:hideMark/>
          </w:tcPr>
          <w:p w14:paraId="3DC07B4D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276" w:type="pct"/>
            <w:noWrap/>
            <w:vAlign w:val="center"/>
            <w:hideMark/>
          </w:tcPr>
          <w:p w14:paraId="1C47203B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502" w:type="pct"/>
            <w:noWrap/>
            <w:vAlign w:val="center"/>
            <w:hideMark/>
          </w:tcPr>
          <w:p w14:paraId="6FAC2716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68</w:t>
            </w:r>
          </w:p>
        </w:tc>
        <w:tc>
          <w:tcPr>
            <w:tcW w:w="502" w:type="pct"/>
            <w:noWrap/>
            <w:vAlign w:val="center"/>
            <w:hideMark/>
          </w:tcPr>
          <w:p w14:paraId="3A6464EA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473" w:type="pct"/>
            <w:noWrap/>
            <w:vAlign w:val="center"/>
            <w:hideMark/>
          </w:tcPr>
          <w:p w14:paraId="38802A78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479" w:type="pct"/>
            <w:noWrap/>
            <w:vAlign w:val="center"/>
            <w:hideMark/>
          </w:tcPr>
          <w:p w14:paraId="27E9FFAF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91" w:type="pct"/>
            <w:noWrap/>
            <w:vAlign w:val="center"/>
            <w:hideMark/>
          </w:tcPr>
          <w:p w14:paraId="570297FE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71</w:t>
            </w:r>
          </w:p>
        </w:tc>
      </w:tr>
      <w:tr w:rsidR="009730C8" w:rsidRPr="009730C8" w14:paraId="654E8B7E" w14:textId="77777777" w:rsidTr="00E538E6">
        <w:trPr>
          <w:trHeight w:val="260"/>
        </w:trPr>
        <w:tc>
          <w:tcPr>
            <w:tcW w:w="694" w:type="pct"/>
            <w:noWrap/>
            <w:vAlign w:val="center"/>
            <w:hideMark/>
          </w:tcPr>
          <w:p w14:paraId="6F0C187D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Reader 1</w:t>
            </w:r>
          </w:p>
        </w:tc>
        <w:tc>
          <w:tcPr>
            <w:tcW w:w="555" w:type="pct"/>
            <w:noWrap/>
            <w:vAlign w:val="center"/>
            <w:hideMark/>
          </w:tcPr>
          <w:p w14:paraId="3E146959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Planar</w:t>
            </w:r>
          </w:p>
        </w:tc>
        <w:tc>
          <w:tcPr>
            <w:tcW w:w="276" w:type="pct"/>
            <w:noWrap/>
            <w:vAlign w:val="center"/>
            <w:hideMark/>
          </w:tcPr>
          <w:p w14:paraId="301A5193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276" w:type="pct"/>
            <w:noWrap/>
            <w:vAlign w:val="center"/>
            <w:hideMark/>
          </w:tcPr>
          <w:p w14:paraId="7CB850DC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46030DAB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7E303BCC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502" w:type="pct"/>
            <w:noWrap/>
            <w:vAlign w:val="center"/>
            <w:hideMark/>
          </w:tcPr>
          <w:p w14:paraId="1B7309C8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37</w:t>
            </w:r>
          </w:p>
        </w:tc>
        <w:tc>
          <w:tcPr>
            <w:tcW w:w="502" w:type="pct"/>
            <w:noWrap/>
            <w:vAlign w:val="center"/>
            <w:hideMark/>
          </w:tcPr>
          <w:p w14:paraId="274AFD1F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473" w:type="pct"/>
            <w:noWrap/>
            <w:vAlign w:val="center"/>
            <w:hideMark/>
          </w:tcPr>
          <w:p w14:paraId="02DD6256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88</w:t>
            </w:r>
          </w:p>
        </w:tc>
        <w:tc>
          <w:tcPr>
            <w:tcW w:w="479" w:type="pct"/>
            <w:noWrap/>
            <w:vAlign w:val="center"/>
            <w:hideMark/>
          </w:tcPr>
          <w:p w14:paraId="02122914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91" w:type="pct"/>
            <w:noWrap/>
            <w:vAlign w:val="center"/>
            <w:hideMark/>
          </w:tcPr>
          <w:p w14:paraId="0DBEA1B6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38</w:t>
            </w:r>
          </w:p>
        </w:tc>
      </w:tr>
      <w:tr w:rsidR="009730C8" w:rsidRPr="009730C8" w14:paraId="737B3478" w14:textId="77777777" w:rsidTr="00E538E6">
        <w:trPr>
          <w:trHeight w:val="260"/>
        </w:trPr>
        <w:tc>
          <w:tcPr>
            <w:tcW w:w="694" w:type="pct"/>
            <w:noWrap/>
            <w:vAlign w:val="center"/>
            <w:hideMark/>
          </w:tcPr>
          <w:p w14:paraId="114A44D3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Reader 2</w:t>
            </w:r>
          </w:p>
        </w:tc>
        <w:tc>
          <w:tcPr>
            <w:tcW w:w="555" w:type="pct"/>
            <w:noWrap/>
            <w:vAlign w:val="center"/>
            <w:hideMark/>
          </w:tcPr>
          <w:p w14:paraId="693F1111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SPECT</w:t>
            </w:r>
          </w:p>
        </w:tc>
        <w:tc>
          <w:tcPr>
            <w:tcW w:w="276" w:type="pct"/>
            <w:noWrap/>
            <w:vAlign w:val="center"/>
            <w:hideMark/>
          </w:tcPr>
          <w:p w14:paraId="337E9EC8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276" w:type="pct"/>
            <w:noWrap/>
            <w:vAlign w:val="center"/>
            <w:hideMark/>
          </w:tcPr>
          <w:p w14:paraId="1B9E1DD3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1BEADFDA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1C9A6A84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02" w:type="pct"/>
            <w:noWrap/>
            <w:vAlign w:val="center"/>
            <w:hideMark/>
          </w:tcPr>
          <w:p w14:paraId="6AF505E5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502" w:type="pct"/>
            <w:noWrap/>
            <w:vAlign w:val="center"/>
            <w:hideMark/>
          </w:tcPr>
          <w:p w14:paraId="54F00805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473" w:type="pct"/>
            <w:noWrap/>
            <w:vAlign w:val="center"/>
            <w:hideMark/>
          </w:tcPr>
          <w:p w14:paraId="17707BF7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</w:p>
        </w:tc>
        <w:tc>
          <w:tcPr>
            <w:tcW w:w="479" w:type="pct"/>
            <w:noWrap/>
            <w:vAlign w:val="center"/>
            <w:hideMark/>
          </w:tcPr>
          <w:p w14:paraId="51506588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91" w:type="pct"/>
            <w:noWrap/>
            <w:vAlign w:val="center"/>
            <w:hideMark/>
          </w:tcPr>
          <w:p w14:paraId="1453F218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81</w:t>
            </w:r>
          </w:p>
        </w:tc>
      </w:tr>
      <w:tr w:rsidR="009730C8" w:rsidRPr="009730C8" w14:paraId="46E10CDB" w14:textId="77777777" w:rsidTr="00E538E6">
        <w:trPr>
          <w:trHeight w:val="260"/>
        </w:trPr>
        <w:tc>
          <w:tcPr>
            <w:tcW w:w="694" w:type="pct"/>
            <w:noWrap/>
            <w:vAlign w:val="center"/>
            <w:hideMark/>
          </w:tcPr>
          <w:p w14:paraId="5898D0CF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Reader 2</w:t>
            </w:r>
          </w:p>
        </w:tc>
        <w:tc>
          <w:tcPr>
            <w:tcW w:w="555" w:type="pct"/>
            <w:noWrap/>
            <w:vAlign w:val="center"/>
            <w:hideMark/>
          </w:tcPr>
          <w:p w14:paraId="798F80B8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Planar</w:t>
            </w:r>
          </w:p>
        </w:tc>
        <w:tc>
          <w:tcPr>
            <w:tcW w:w="276" w:type="pct"/>
            <w:noWrap/>
            <w:vAlign w:val="center"/>
            <w:hideMark/>
          </w:tcPr>
          <w:p w14:paraId="114A05C9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276" w:type="pct"/>
            <w:noWrap/>
            <w:vAlign w:val="center"/>
            <w:hideMark/>
          </w:tcPr>
          <w:p w14:paraId="5FCCBC12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4C57E664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632E5AB9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502" w:type="pct"/>
            <w:noWrap/>
            <w:vAlign w:val="center"/>
            <w:hideMark/>
          </w:tcPr>
          <w:p w14:paraId="045B6798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502" w:type="pct"/>
            <w:noWrap/>
            <w:vAlign w:val="center"/>
            <w:hideMark/>
          </w:tcPr>
          <w:p w14:paraId="41A1D36A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473" w:type="pct"/>
            <w:noWrap/>
            <w:vAlign w:val="center"/>
            <w:hideMark/>
          </w:tcPr>
          <w:p w14:paraId="78384EE3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89</w:t>
            </w:r>
          </w:p>
        </w:tc>
        <w:tc>
          <w:tcPr>
            <w:tcW w:w="479" w:type="pct"/>
            <w:noWrap/>
            <w:vAlign w:val="center"/>
            <w:hideMark/>
          </w:tcPr>
          <w:p w14:paraId="23376250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691" w:type="pct"/>
            <w:noWrap/>
            <w:vAlign w:val="center"/>
            <w:hideMark/>
          </w:tcPr>
          <w:p w14:paraId="1EC356AE" w14:textId="77777777" w:rsidR="009730C8" w:rsidRPr="009730C8" w:rsidRDefault="009730C8" w:rsidP="009730C8">
            <w:pPr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color w:val="000000"/>
                <w:kern w:val="0"/>
                <w:sz w:val="18"/>
                <w:szCs w:val="18"/>
                <w14:ligatures w14:val="none"/>
              </w:rPr>
              <w:t>43</w:t>
            </w:r>
          </w:p>
        </w:tc>
      </w:tr>
      <w:tr w:rsidR="009730C8" w:rsidRPr="009730C8" w14:paraId="1F793936" w14:textId="77777777" w:rsidTr="00E538E6">
        <w:trPr>
          <w:trHeight w:val="260"/>
        </w:trPr>
        <w:tc>
          <w:tcPr>
            <w:tcW w:w="694" w:type="pct"/>
            <w:noWrap/>
            <w:vAlign w:val="center"/>
            <w:hideMark/>
          </w:tcPr>
          <w:p w14:paraId="42B6F783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Consensus</w:t>
            </w:r>
          </w:p>
        </w:tc>
        <w:tc>
          <w:tcPr>
            <w:tcW w:w="555" w:type="pct"/>
            <w:noWrap/>
            <w:vAlign w:val="center"/>
            <w:hideMark/>
          </w:tcPr>
          <w:p w14:paraId="00424126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SPECT</w:t>
            </w:r>
          </w:p>
        </w:tc>
        <w:tc>
          <w:tcPr>
            <w:tcW w:w="276" w:type="pct"/>
            <w:noWrap/>
            <w:vAlign w:val="center"/>
            <w:hideMark/>
          </w:tcPr>
          <w:p w14:paraId="08C9F925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16</w:t>
            </w:r>
          </w:p>
        </w:tc>
        <w:tc>
          <w:tcPr>
            <w:tcW w:w="276" w:type="pct"/>
            <w:noWrap/>
            <w:vAlign w:val="center"/>
            <w:hideMark/>
          </w:tcPr>
          <w:p w14:paraId="4767A59B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6E49171E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0508D96E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502" w:type="pct"/>
            <w:noWrap/>
            <w:vAlign w:val="center"/>
            <w:hideMark/>
          </w:tcPr>
          <w:p w14:paraId="3F8A0A6E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84</w:t>
            </w:r>
          </w:p>
        </w:tc>
        <w:tc>
          <w:tcPr>
            <w:tcW w:w="502" w:type="pct"/>
            <w:noWrap/>
            <w:vAlign w:val="center"/>
            <w:hideMark/>
          </w:tcPr>
          <w:p w14:paraId="2DBF0404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473" w:type="pct"/>
            <w:noWrap/>
            <w:vAlign w:val="center"/>
            <w:hideMark/>
          </w:tcPr>
          <w:p w14:paraId="1409D011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94</w:t>
            </w:r>
          </w:p>
        </w:tc>
        <w:tc>
          <w:tcPr>
            <w:tcW w:w="479" w:type="pct"/>
            <w:noWrap/>
            <w:vAlign w:val="center"/>
            <w:hideMark/>
          </w:tcPr>
          <w:p w14:paraId="577FE202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25</w:t>
            </w:r>
          </w:p>
        </w:tc>
        <w:tc>
          <w:tcPr>
            <w:tcW w:w="691" w:type="pct"/>
            <w:noWrap/>
            <w:vAlign w:val="center"/>
            <w:hideMark/>
          </w:tcPr>
          <w:p w14:paraId="600E4BA7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81</w:t>
            </w:r>
          </w:p>
        </w:tc>
      </w:tr>
      <w:tr w:rsidR="009730C8" w:rsidRPr="009730C8" w14:paraId="51901B8F" w14:textId="77777777" w:rsidTr="00E538E6">
        <w:trPr>
          <w:trHeight w:val="260"/>
        </w:trPr>
        <w:tc>
          <w:tcPr>
            <w:tcW w:w="694" w:type="pct"/>
            <w:noWrap/>
            <w:vAlign w:val="center"/>
            <w:hideMark/>
          </w:tcPr>
          <w:p w14:paraId="0894838B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Consensus</w:t>
            </w:r>
          </w:p>
        </w:tc>
        <w:tc>
          <w:tcPr>
            <w:tcW w:w="555" w:type="pct"/>
            <w:noWrap/>
            <w:vAlign w:val="center"/>
            <w:hideMark/>
          </w:tcPr>
          <w:p w14:paraId="44872471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Planar</w:t>
            </w:r>
          </w:p>
        </w:tc>
        <w:tc>
          <w:tcPr>
            <w:tcW w:w="276" w:type="pct"/>
            <w:noWrap/>
            <w:vAlign w:val="center"/>
            <w:hideMark/>
          </w:tcPr>
          <w:p w14:paraId="0F8DDEB1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276" w:type="pct"/>
            <w:noWrap/>
            <w:vAlign w:val="center"/>
            <w:hideMark/>
          </w:tcPr>
          <w:p w14:paraId="50A4E565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61013D44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276" w:type="pct"/>
            <w:noWrap/>
            <w:vAlign w:val="center"/>
            <w:hideMark/>
          </w:tcPr>
          <w:p w14:paraId="079830EC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502" w:type="pct"/>
            <w:noWrap/>
            <w:vAlign w:val="center"/>
            <w:hideMark/>
          </w:tcPr>
          <w:p w14:paraId="749991B1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58</w:t>
            </w:r>
          </w:p>
        </w:tc>
        <w:tc>
          <w:tcPr>
            <w:tcW w:w="502" w:type="pct"/>
            <w:noWrap/>
            <w:vAlign w:val="center"/>
            <w:hideMark/>
          </w:tcPr>
          <w:p w14:paraId="427729D6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50</w:t>
            </w:r>
          </w:p>
        </w:tc>
        <w:tc>
          <w:tcPr>
            <w:tcW w:w="473" w:type="pct"/>
            <w:noWrap/>
            <w:vAlign w:val="center"/>
            <w:hideMark/>
          </w:tcPr>
          <w:p w14:paraId="708CDE5E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92</w:t>
            </w:r>
          </w:p>
        </w:tc>
        <w:tc>
          <w:tcPr>
            <w:tcW w:w="479" w:type="pct"/>
            <w:noWrap/>
            <w:vAlign w:val="center"/>
            <w:hideMark/>
          </w:tcPr>
          <w:p w14:paraId="673B9E01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691" w:type="pct"/>
            <w:noWrap/>
            <w:vAlign w:val="center"/>
            <w:hideMark/>
          </w:tcPr>
          <w:p w14:paraId="75296EE4" w14:textId="77777777" w:rsidR="009730C8" w:rsidRPr="009730C8" w:rsidRDefault="009730C8" w:rsidP="009730C8">
            <w:pPr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57</w:t>
            </w:r>
          </w:p>
        </w:tc>
      </w:tr>
    </w:tbl>
    <w:p w14:paraId="207E2B2C" w14:textId="77777777" w:rsidR="009730C8" w:rsidRPr="009730C8" w:rsidRDefault="009730C8" w:rsidP="009730C8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18"/>
          <w:szCs w:val="18"/>
          <w14:ligatures w14:val="none"/>
        </w:rPr>
      </w:pPr>
      <w:r w:rsidRPr="009730C8">
        <w:rPr>
          <w:rFonts w:ascii="Calibri" w:eastAsia="Times New Roman" w:hAnsi="Calibri" w:cs="Calibri"/>
          <w:i/>
          <w:iCs/>
          <w:color w:val="000000"/>
          <w:kern w:val="0"/>
          <w:sz w:val="18"/>
          <w:szCs w:val="18"/>
          <w14:ligatures w14:val="none"/>
        </w:rPr>
        <w:t>Millar grading was used as the reference standard: Millar scores 1-4 were considered positive while Millar score 5 was considered negative. The results reflect 21 patients who had pre- and post-NACT SPECT then underwent surgery and have their post-operative pathology available.</w:t>
      </w:r>
    </w:p>
    <w:p w14:paraId="234AF1E1" w14:textId="77777777" w:rsidR="009730C8" w:rsidRPr="009730C8" w:rsidRDefault="009730C8" w:rsidP="009730C8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kern w:val="0"/>
          <w:sz w:val="18"/>
          <w:szCs w:val="18"/>
          <w14:ligatures w14:val="none"/>
        </w:rPr>
      </w:pPr>
      <w:r w:rsidRPr="009730C8">
        <w:rPr>
          <w:rFonts w:ascii="Calibri" w:eastAsia="Times New Roman" w:hAnsi="Calibri" w:cs="Calibri"/>
          <w:i/>
          <w:iCs/>
          <w:color w:val="000000"/>
          <w:kern w:val="0"/>
          <w:sz w:val="18"/>
          <w:szCs w:val="18"/>
          <w14:ligatures w14:val="none"/>
        </w:rPr>
        <w:t xml:space="preserve"> </w:t>
      </w:r>
    </w:p>
    <w:p w14:paraId="0D2E15BD" w14:textId="77777777" w:rsidR="009730C8" w:rsidRPr="009730C8" w:rsidRDefault="009730C8" w:rsidP="009730C8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14:ligatures w14:val="none"/>
        </w:rPr>
      </w:pPr>
      <w:r w:rsidRPr="009730C8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14:ligatures w14:val="none"/>
        </w:rPr>
        <w:t>Table S3.</w:t>
      </w:r>
      <w:r w:rsidRPr="009730C8">
        <w:rPr>
          <w:rFonts w:ascii="Calibri" w:eastAsia="Times New Roman" w:hAnsi="Calibri" w:cs="Calibri"/>
          <w:color w:val="000000"/>
          <w:kern w:val="0"/>
          <w:sz w:val="24"/>
          <w:szCs w:val="24"/>
          <w14:ligatures w14:val="none"/>
        </w:rPr>
        <w:t xml:space="preserve"> Cross tabulation of the SPECT vs. planar consensus classification of the scan positivity/negativity in respect to the pathological reference standard.</w:t>
      </w:r>
    </w:p>
    <w:p w14:paraId="3C04B4B3" w14:textId="77777777" w:rsidR="009730C8" w:rsidRPr="009730C8" w:rsidRDefault="009730C8" w:rsidP="009730C8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14:ligatures w14:val="none"/>
        </w:rPr>
      </w:pPr>
    </w:p>
    <w:tbl>
      <w:tblPr>
        <w:tblStyle w:val="TableGridLight1"/>
        <w:tblW w:w="9752" w:type="dxa"/>
        <w:tblLayout w:type="fixed"/>
        <w:tblLook w:val="04A0" w:firstRow="1" w:lastRow="0" w:firstColumn="1" w:lastColumn="0" w:noHBand="0" w:noVBand="1"/>
      </w:tblPr>
      <w:tblGrid>
        <w:gridCol w:w="1797"/>
        <w:gridCol w:w="1797"/>
        <w:gridCol w:w="1585"/>
        <w:gridCol w:w="1494"/>
        <w:gridCol w:w="1585"/>
        <w:gridCol w:w="1494"/>
      </w:tblGrid>
      <w:tr w:rsidR="009730C8" w:rsidRPr="009730C8" w14:paraId="6CF81D0F" w14:textId="77777777" w:rsidTr="00E538E6">
        <w:trPr>
          <w:trHeight w:val="273"/>
        </w:trPr>
        <w:tc>
          <w:tcPr>
            <w:tcW w:w="1797" w:type="dxa"/>
            <w:vMerge w:val="restart"/>
            <w:vAlign w:val="center"/>
          </w:tcPr>
          <w:p w14:paraId="1B9503FB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kern w:val="0"/>
                <w:sz w:val="18"/>
                <w:szCs w:val="18"/>
                <w14:ligatures w14:val="none"/>
              </w:rPr>
              <w:br w:type="page"/>
              <w:t>Modality</w:t>
            </w:r>
          </w:p>
        </w:tc>
        <w:tc>
          <w:tcPr>
            <w:tcW w:w="1797" w:type="dxa"/>
            <w:vMerge w:val="restart"/>
            <w:noWrap/>
            <w:vAlign w:val="center"/>
          </w:tcPr>
          <w:p w14:paraId="3EC67C91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Results</w:t>
            </w:r>
          </w:p>
        </w:tc>
        <w:tc>
          <w:tcPr>
            <w:tcW w:w="6158" w:type="dxa"/>
            <w:gridSpan w:val="4"/>
            <w:noWrap/>
            <w:vAlign w:val="center"/>
          </w:tcPr>
          <w:p w14:paraId="5FA58BFC" w14:textId="77777777" w:rsidR="009730C8" w:rsidRPr="009730C8" w:rsidRDefault="009730C8" w:rsidP="009730C8">
            <w:pPr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SPECT/CT</w:t>
            </w:r>
          </w:p>
        </w:tc>
      </w:tr>
      <w:tr w:rsidR="009730C8" w:rsidRPr="009730C8" w14:paraId="41C6CFA2" w14:textId="77777777" w:rsidTr="00E538E6">
        <w:trPr>
          <w:trHeight w:val="273"/>
        </w:trPr>
        <w:tc>
          <w:tcPr>
            <w:tcW w:w="1797" w:type="dxa"/>
            <w:vMerge/>
            <w:shd w:val="clear" w:color="auto" w:fill="D9D9D9"/>
            <w:vAlign w:val="center"/>
          </w:tcPr>
          <w:p w14:paraId="057FB27A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97" w:type="dxa"/>
            <w:vMerge/>
            <w:shd w:val="clear" w:color="auto" w:fill="D9D9D9"/>
            <w:noWrap/>
            <w:vAlign w:val="center"/>
            <w:hideMark/>
          </w:tcPr>
          <w:p w14:paraId="0EEEA6B3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747DD33A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True negative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1A1D4CBC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False positive</w:t>
            </w:r>
          </w:p>
        </w:tc>
        <w:tc>
          <w:tcPr>
            <w:tcW w:w="1585" w:type="dxa"/>
            <w:shd w:val="clear" w:color="auto" w:fill="auto"/>
            <w:noWrap/>
            <w:vAlign w:val="center"/>
            <w:hideMark/>
          </w:tcPr>
          <w:p w14:paraId="71159B17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False negative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14:paraId="64EBB68B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True positive</w:t>
            </w:r>
          </w:p>
        </w:tc>
      </w:tr>
      <w:tr w:rsidR="009730C8" w:rsidRPr="009730C8" w14:paraId="41103542" w14:textId="77777777" w:rsidTr="00E538E6">
        <w:trPr>
          <w:trHeight w:val="273"/>
        </w:trPr>
        <w:tc>
          <w:tcPr>
            <w:tcW w:w="1797" w:type="dxa"/>
            <w:vMerge w:val="restart"/>
            <w:vAlign w:val="center"/>
          </w:tcPr>
          <w:p w14:paraId="03184B3A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Planar</w:t>
            </w:r>
          </w:p>
        </w:tc>
        <w:tc>
          <w:tcPr>
            <w:tcW w:w="1797" w:type="dxa"/>
            <w:noWrap/>
            <w:vAlign w:val="center"/>
            <w:hideMark/>
          </w:tcPr>
          <w:p w14:paraId="560AAD96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True negative</w:t>
            </w:r>
          </w:p>
        </w:tc>
        <w:tc>
          <w:tcPr>
            <w:tcW w:w="1585" w:type="dxa"/>
            <w:noWrap/>
            <w:vAlign w:val="center"/>
            <w:hideMark/>
          </w:tcPr>
          <w:p w14:paraId="72B23233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494" w:type="dxa"/>
            <w:noWrap/>
            <w:vAlign w:val="center"/>
            <w:hideMark/>
          </w:tcPr>
          <w:p w14:paraId="393CD626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585" w:type="dxa"/>
            <w:shd w:val="clear" w:color="auto" w:fill="D9D9D9"/>
            <w:noWrap/>
            <w:vAlign w:val="center"/>
          </w:tcPr>
          <w:p w14:paraId="6DF040F3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494" w:type="dxa"/>
            <w:shd w:val="clear" w:color="auto" w:fill="D9D9D9"/>
            <w:noWrap/>
            <w:vAlign w:val="center"/>
          </w:tcPr>
          <w:p w14:paraId="34F89F9E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9730C8" w:rsidRPr="009730C8" w14:paraId="0189F4F2" w14:textId="77777777" w:rsidTr="00E538E6">
        <w:trPr>
          <w:trHeight w:val="273"/>
        </w:trPr>
        <w:tc>
          <w:tcPr>
            <w:tcW w:w="1797" w:type="dxa"/>
            <w:vMerge/>
            <w:vAlign w:val="center"/>
          </w:tcPr>
          <w:p w14:paraId="25D7FC0C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97" w:type="dxa"/>
            <w:noWrap/>
            <w:vAlign w:val="center"/>
            <w:hideMark/>
          </w:tcPr>
          <w:p w14:paraId="69ED0E61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False positive</w:t>
            </w:r>
          </w:p>
        </w:tc>
        <w:tc>
          <w:tcPr>
            <w:tcW w:w="1585" w:type="dxa"/>
            <w:noWrap/>
            <w:vAlign w:val="center"/>
            <w:hideMark/>
          </w:tcPr>
          <w:p w14:paraId="464D9E04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494" w:type="dxa"/>
            <w:noWrap/>
            <w:vAlign w:val="center"/>
            <w:hideMark/>
          </w:tcPr>
          <w:p w14:paraId="2AB3E62E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</w:p>
        </w:tc>
        <w:tc>
          <w:tcPr>
            <w:tcW w:w="1585" w:type="dxa"/>
            <w:shd w:val="clear" w:color="auto" w:fill="D9D9D9"/>
            <w:noWrap/>
            <w:vAlign w:val="center"/>
          </w:tcPr>
          <w:p w14:paraId="52924DAC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494" w:type="dxa"/>
            <w:shd w:val="clear" w:color="auto" w:fill="D9D9D9"/>
            <w:noWrap/>
            <w:vAlign w:val="center"/>
          </w:tcPr>
          <w:p w14:paraId="51BAACF4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</w:tr>
      <w:tr w:rsidR="009730C8" w:rsidRPr="009730C8" w14:paraId="4ACB93C4" w14:textId="77777777" w:rsidTr="00E538E6">
        <w:trPr>
          <w:trHeight w:val="273"/>
        </w:trPr>
        <w:tc>
          <w:tcPr>
            <w:tcW w:w="1797" w:type="dxa"/>
            <w:vMerge/>
            <w:vAlign w:val="center"/>
          </w:tcPr>
          <w:p w14:paraId="24869566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97" w:type="dxa"/>
            <w:noWrap/>
            <w:vAlign w:val="center"/>
          </w:tcPr>
          <w:p w14:paraId="5A1E2759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False negative</w:t>
            </w:r>
          </w:p>
        </w:tc>
        <w:tc>
          <w:tcPr>
            <w:tcW w:w="1585" w:type="dxa"/>
            <w:shd w:val="clear" w:color="auto" w:fill="D9D9D9"/>
            <w:noWrap/>
            <w:vAlign w:val="center"/>
          </w:tcPr>
          <w:p w14:paraId="51D856A3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494" w:type="dxa"/>
            <w:shd w:val="clear" w:color="auto" w:fill="D9D9D9"/>
            <w:noWrap/>
            <w:vAlign w:val="center"/>
          </w:tcPr>
          <w:p w14:paraId="73809084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585" w:type="dxa"/>
            <w:noWrap/>
            <w:vAlign w:val="center"/>
          </w:tcPr>
          <w:p w14:paraId="263507F9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</w:p>
        </w:tc>
        <w:tc>
          <w:tcPr>
            <w:tcW w:w="1494" w:type="dxa"/>
            <w:noWrap/>
            <w:vAlign w:val="center"/>
          </w:tcPr>
          <w:p w14:paraId="5B7FA436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#</w:t>
            </w:r>
          </w:p>
        </w:tc>
      </w:tr>
      <w:tr w:rsidR="009730C8" w:rsidRPr="009730C8" w14:paraId="464F8F85" w14:textId="77777777" w:rsidTr="00E538E6">
        <w:trPr>
          <w:trHeight w:val="273"/>
        </w:trPr>
        <w:tc>
          <w:tcPr>
            <w:tcW w:w="1797" w:type="dxa"/>
            <w:vMerge/>
            <w:vAlign w:val="center"/>
          </w:tcPr>
          <w:p w14:paraId="7EF0B279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97" w:type="dxa"/>
            <w:noWrap/>
            <w:vAlign w:val="center"/>
          </w:tcPr>
          <w:p w14:paraId="72FBB7DA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True positive</w:t>
            </w:r>
          </w:p>
        </w:tc>
        <w:tc>
          <w:tcPr>
            <w:tcW w:w="1585" w:type="dxa"/>
            <w:shd w:val="clear" w:color="auto" w:fill="D9D9D9"/>
            <w:noWrap/>
            <w:vAlign w:val="center"/>
          </w:tcPr>
          <w:p w14:paraId="3DC9159D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494" w:type="dxa"/>
            <w:shd w:val="clear" w:color="auto" w:fill="D9D9D9"/>
            <w:noWrap/>
            <w:vAlign w:val="center"/>
          </w:tcPr>
          <w:p w14:paraId="664F05C5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</w:t>
            </w:r>
          </w:p>
        </w:tc>
        <w:tc>
          <w:tcPr>
            <w:tcW w:w="1585" w:type="dxa"/>
            <w:noWrap/>
            <w:vAlign w:val="center"/>
          </w:tcPr>
          <w:p w14:paraId="009D3953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1494" w:type="dxa"/>
            <w:noWrap/>
            <w:vAlign w:val="center"/>
          </w:tcPr>
          <w:p w14:paraId="2AACE811" w14:textId="77777777" w:rsidR="009730C8" w:rsidRPr="009730C8" w:rsidRDefault="009730C8" w:rsidP="009730C8">
            <w:pPr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730C8">
              <w:rPr>
                <w:rFonts w:eastAsia="Times New Roman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11</w:t>
            </w:r>
          </w:p>
        </w:tc>
      </w:tr>
    </w:tbl>
    <w:p w14:paraId="7541C142" w14:textId="77777777" w:rsidR="009730C8" w:rsidRPr="009730C8" w:rsidRDefault="009730C8" w:rsidP="009730C8">
      <w:pPr>
        <w:spacing w:after="0" w:line="240" w:lineRule="auto"/>
        <w:rPr>
          <w:rFonts w:ascii="Calibri" w:eastAsia="Times New Roman" w:hAnsi="Calibri" w:cs="Calibri"/>
          <w:kern w:val="0"/>
          <w:sz w:val="18"/>
          <w:szCs w:val="18"/>
          <w14:ligatures w14:val="none"/>
        </w:rPr>
      </w:pPr>
      <w:r w:rsidRPr="009730C8">
        <w:rPr>
          <w:rFonts w:ascii="Calibri" w:eastAsia="Times New Roman" w:hAnsi="Calibri" w:cs="Calibri"/>
          <w:kern w:val="0"/>
          <w:sz w:val="18"/>
          <w:szCs w:val="18"/>
          <w14:ligatures w14:val="none"/>
        </w:rPr>
        <w:t># The 5 patients represent the additional gain in sensitivity from SPECT/CT imaging.</w:t>
      </w:r>
    </w:p>
    <w:p w14:paraId="4DA55DD5" w14:textId="77777777" w:rsidR="00D64651" w:rsidRDefault="00D64651"/>
    <w:sectPr w:rsidR="00D64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86"/>
    <w:rsid w:val="009730C8"/>
    <w:rsid w:val="00A96B76"/>
    <w:rsid w:val="00B50F86"/>
    <w:rsid w:val="00D201C0"/>
    <w:rsid w:val="00D64651"/>
    <w:rsid w:val="00F9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E1128"/>
  <w15:chartTrackingRefBased/>
  <w15:docId w15:val="{947DCAEC-A038-45D8-BA0E-1586EFD9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86"/>
    <w:rPr>
      <w:b/>
      <w:bCs/>
      <w:smallCaps/>
      <w:color w:val="0F4761" w:themeColor="accent1" w:themeShade="BF"/>
      <w:spacing w:val="5"/>
    </w:rPr>
  </w:style>
  <w:style w:type="table" w:customStyle="1" w:styleId="TableGridLight1">
    <w:name w:val="Table Grid Light1"/>
    <w:basedOn w:val="TableNormal"/>
    <w:uiPriority w:val="40"/>
    <w:rsid w:val="00B50F86"/>
    <w:pPr>
      <w:spacing w:after="0" w:line="240" w:lineRule="auto"/>
    </w:pPr>
    <w:rPr>
      <w:rFonts w:ascii="Calibri" w:eastAsia="Calibri" w:hAnsi="Calibri" w:cs="Arial"/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Marwa T. Hussien</dc:creator>
  <cp:keywords/>
  <dc:description/>
  <cp:lastModifiedBy>Dr Marwa T. Hussien</cp:lastModifiedBy>
  <cp:revision>2</cp:revision>
  <dcterms:created xsi:type="dcterms:W3CDTF">2024-04-05T10:17:00Z</dcterms:created>
  <dcterms:modified xsi:type="dcterms:W3CDTF">2024-04-05T12:55:00Z</dcterms:modified>
</cp:coreProperties>
</file>