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ED944" w14:textId="60AD1707" w:rsidR="00A04348" w:rsidRPr="00852B87" w:rsidRDefault="00A04348" w:rsidP="00A04348">
      <w:pPr>
        <w:widowControl w:val="0"/>
        <w:autoSpaceDE w:val="0"/>
        <w:autoSpaceDN w:val="0"/>
        <w:spacing w:after="0" w:line="360" w:lineRule="auto"/>
        <w:ind w:left="-180"/>
        <w:jc w:val="both"/>
        <w:rPr>
          <w:rFonts w:asciiTheme="majorBidi" w:eastAsia="Calibri" w:hAnsiTheme="majorBidi" w:cstheme="majorBidi"/>
          <w:b/>
          <w:bCs/>
        </w:rPr>
      </w:pPr>
      <w:bookmarkStart w:id="0" w:name="_Hlk186888236"/>
      <w:r>
        <w:rPr>
          <w:rFonts w:asciiTheme="majorBidi" w:eastAsia="Calibri" w:hAnsiTheme="majorBidi" w:cstheme="majorBidi"/>
          <w:b/>
          <w:bCs/>
        </w:rPr>
        <w:t>1</w:t>
      </w:r>
      <w:r w:rsidRPr="00852B87">
        <w:rPr>
          <w:rFonts w:asciiTheme="majorBidi" w:eastAsia="Calibri" w:hAnsiTheme="majorBidi" w:cstheme="majorBidi"/>
          <w:b/>
          <w:bCs/>
        </w:rPr>
        <w:t xml:space="preserve"> TNF-α Levels by Cancer Stage</w:t>
      </w:r>
    </w:p>
    <w:bookmarkEnd w:id="0"/>
    <w:p w14:paraId="1671DEB9" w14:textId="2110F9B5" w:rsidR="00A04348" w:rsidRPr="00852B87" w:rsidRDefault="00A04348" w:rsidP="00A04348">
      <w:pPr>
        <w:widowControl w:val="0"/>
        <w:autoSpaceDE w:val="0"/>
        <w:autoSpaceDN w:val="0"/>
        <w:spacing w:after="0" w:line="360" w:lineRule="auto"/>
        <w:ind w:left="-180"/>
        <w:jc w:val="both"/>
        <w:rPr>
          <w:rFonts w:asciiTheme="majorBidi" w:eastAsia="Calibri" w:hAnsiTheme="majorBidi" w:cstheme="majorBidi"/>
        </w:rPr>
      </w:pPr>
      <w:r w:rsidRPr="00852B87">
        <w:rPr>
          <w:rFonts w:asciiTheme="majorBidi" w:eastAsia="Calibri" w:hAnsiTheme="majorBidi" w:cstheme="majorBidi"/>
        </w:rPr>
        <w:t xml:space="preserve">There was no statistically significant variation in TNF-α levels among colon cancer patients across different stages of the disease. This finding is represented in Figure </w:t>
      </w:r>
      <w:r>
        <w:rPr>
          <w:rFonts w:asciiTheme="majorBidi" w:eastAsia="Calibri" w:hAnsiTheme="majorBidi" w:cstheme="majorBidi"/>
        </w:rPr>
        <w:t>1</w:t>
      </w:r>
      <w:r w:rsidRPr="00852B87">
        <w:rPr>
          <w:rFonts w:asciiTheme="majorBidi" w:eastAsia="Calibri" w:hAnsiTheme="majorBidi" w:cstheme="majorBidi"/>
        </w:rPr>
        <w:t xml:space="preserve"> and Table </w:t>
      </w:r>
      <w:r>
        <w:rPr>
          <w:rFonts w:asciiTheme="majorBidi" w:eastAsia="Calibri" w:hAnsiTheme="majorBidi" w:cstheme="majorBidi"/>
        </w:rPr>
        <w:t>1</w:t>
      </w:r>
      <w:r w:rsidRPr="00852B87">
        <w:rPr>
          <w:rFonts w:asciiTheme="majorBidi" w:eastAsia="Calibri" w:hAnsiTheme="majorBidi" w:cstheme="majorBidi"/>
        </w:rPr>
        <w:t>.</w:t>
      </w:r>
    </w:p>
    <w:p w14:paraId="297A0A98" w14:textId="77777777" w:rsidR="00A04348" w:rsidRPr="00852B87" w:rsidRDefault="00A04348" w:rsidP="00A04348">
      <w:pPr>
        <w:widowControl w:val="0"/>
        <w:autoSpaceDE w:val="0"/>
        <w:autoSpaceDN w:val="0"/>
        <w:spacing w:after="0" w:line="360" w:lineRule="auto"/>
        <w:ind w:left="-180"/>
        <w:jc w:val="both"/>
        <w:rPr>
          <w:rFonts w:asciiTheme="majorBidi" w:eastAsia="Calibri" w:hAnsiTheme="majorBidi" w:cstheme="majorBidi"/>
        </w:rPr>
      </w:pPr>
      <w:r w:rsidRPr="00974A50">
        <w:rPr>
          <w:rFonts w:asciiTheme="majorBidi" w:eastAsia="Calibri" w:hAnsiTheme="majorBidi" w:cstheme="majorBid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DB824" wp14:editId="717DF5A5">
                <wp:simplePos x="0" y="0"/>
                <wp:positionH relativeFrom="column">
                  <wp:posOffset>-219075</wp:posOffset>
                </wp:positionH>
                <wp:positionV relativeFrom="paragraph">
                  <wp:posOffset>3398520</wp:posOffset>
                </wp:positionV>
                <wp:extent cx="5883275" cy="4953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025AB" w14:textId="26D9D32D" w:rsidR="00A04348" w:rsidRDefault="00A04348" w:rsidP="00A04348">
                            <w:pPr>
                              <w:spacing w:after="0" w:line="240" w:lineRule="auto"/>
                              <w:jc w:val="both"/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</w:pPr>
                            <w:r w:rsidRPr="00FB540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</w:rPr>
                              <w:t xml:space="preserve">Figure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</w:rPr>
                              <w:t>1</w:t>
                            </w:r>
                            <w:r w:rsidRPr="00FB540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852B87">
                              <w:rPr>
                                <w:rFonts w:asciiTheme="majorBidi" w:eastAsia="Times New Roman" w:hAnsiTheme="majorBidi" w:cstheme="majorBidi"/>
                                <w:color w:val="000000"/>
                              </w:rPr>
                              <w:t>Comparison of concentration TNF-α based on differences between Stages of colon cancer.</w:t>
                            </w:r>
                          </w:p>
                          <w:p w14:paraId="10E1DDC7" w14:textId="77777777" w:rsidR="00A04348" w:rsidRDefault="00A04348" w:rsidP="00A04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6ADB8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5pt;margin-top:267.6pt;width:463.2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qjDgIAAPY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" stroked="f">
                <v:textbox>
                  <w:txbxContent>
                    <w:p w14:paraId="4DF025AB" w14:textId="26D9D32D" w:rsidR="00A04348" w:rsidRDefault="00A04348" w:rsidP="00A04348">
                      <w:pPr>
                        <w:spacing w:after="0" w:line="240" w:lineRule="auto"/>
                        <w:jc w:val="both"/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</w:pPr>
                      <w:r w:rsidRPr="00FB540C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</w:rPr>
                        <w:t xml:space="preserve">Figure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</w:rPr>
                        <w:t>1</w:t>
                      </w:r>
                      <w:r w:rsidRPr="00FB540C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852B87">
                        <w:rPr>
                          <w:rFonts w:asciiTheme="majorBidi" w:eastAsia="Times New Roman" w:hAnsiTheme="majorBidi" w:cstheme="majorBidi"/>
                          <w:color w:val="000000"/>
                        </w:rPr>
                        <w:t>Comparison of concentration TNF-α based on differences between Stages of colon cancer.</w:t>
                      </w:r>
                    </w:p>
                    <w:p w14:paraId="10E1DDC7" w14:textId="77777777" w:rsidR="00A04348" w:rsidRDefault="00A04348" w:rsidP="00A04348"/>
                  </w:txbxContent>
                </v:textbox>
                <w10:wrap type="square"/>
              </v:shape>
            </w:pict>
          </mc:Fallback>
        </mc:AlternateContent>
      </w:r>
      <w:r w:rsidRPr="00FB540C">
        <w:rPr>
          <w:rFonts w:asciiTheme="majorBidi" w:eastAsia="Times New Roman" w:hAnsiTheme="majorBidi" w:cstheme="majorBidi"/>
          <w:b/>
          <w:bCs/>
          <w:noProof/>
          <w:color w:val="000000"/>
        </w:rPr>
        <w:drawing>
          <wp:inline distT="0" distB="0" distL="0" distR="0" wp14:anchorId="0845C078" wp14:editId="76F56314">
            <wp:extent cx="5759450" cy="3239770"/>
            <wp:effectExtent l="19050" t="19050" r="12700" b="17780"/>
            <wp:docPr id="23" name="صورة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ge TNF-A.emf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F52337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</w:p>
    <w:p w14:paraId="5C54BF15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</w:p>
    <w:p w14:paraId="3A337B1F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</w:rPr>
      </w:pPr>
    </w:p>
    <w:p w14:paraId="64071CB7" w14:textId="16E0B983" w:rsidR="00A04348" w:rsidRPr="00FB540C" w:rsidRDefault="00A04348" w:rsidP="00A04348">
      <w:pPr>
        <w:widowControl w:val="0"/>
        <w:autoSpaceDE w:val="0"/>
        <w:autoSpaceDN w:val="0"/>
        <w:spacing w:after="0" w:line="240" w:lineRule="auto"/>
        <w:ind w:left="-270"/>
        <w:jc w:val="both"/>
        <w:rPr>
          <w:rFonts w:asciiTheme="majorBidi" w:eastAsia="Calibri" w:hAnsiTheme="majorBidi" w:cstheme="majorBidi"/>
          <w:b/>
          <w:bCs/>
          <w:rtl/>
        </w:rPr>
      </w:pPr>
      <w:r w:rsidRPr="00FB540C">
        <w:rPr>
          <w:rFonts w:asciiTheme="majorBidi" w:eastAsia="Calibri" w:hAnsiTheme="majorBidi" w:cstheme="majorBidi"/>
          <w:b/>
          <w:bCs/>
        </w:rPr>
        <w:t xml:space="preserve">Table </w:t>
      </w:r>
      <w:r>
        <w:rPr>
          <w:rFonts w:asciiTheme="majorBidi" w:eastAsia="Calibri" w:hAnsiTheme="majorBidi" w:cstheme="majorBidi"/>
          <w:b/>
          <w:bCs/>
        </w:rPr>
        <w:t>1</w:t>
      </w:r>
      <w:r w:rsidRPr="00FB540C">
        <w:rPr>
          <w:rFonts w:asciiTheme="majorBidi" w:eastAsia="Calibri" w:hAnsiTheme="majorBidi" w:cstheme="majorBidi"/>
          <w:b/>
          <w:bCs/>
        </w:rPr>
        <w:t xml:space="preserve"> </w:t>
      </w:r>
      <w:r w:rsidRPr="00FB540C">
        <w:rPr>
          <w:rFonts w:asciiTheme="majorBidi" w:eastAsia="Calibri" w:hAnsiTheme="majorBidi" w:cstheme="majorBidi"/>
        </w:rPr>
        <w:t>Comparing the levels of TNF-α in seropositive people with colon cancer at different disease stages.</w:t>
      </w:r>
    </w:p>
    <w:p w14:paraId="7FE58B1E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0"/>
        <w:gridCol w:w="1517"/>
        <w:gridCol w:w="2663"/>
      </w:tblGrid>
      <w:tr w:rsidR="00A04348" w:rsidRPr="00FB540C" w14:paraId="7F2282AB" w14:textId="77777777" w:rsidTr="00603EEE">
        <w:trPr>
          <w:trHeight w:val="283"/>
        </w:trPr>
        <w:tc>
          <w:tcPr>
            <w:tcW w:w="2765" w:type="pct"/>
            <w:shd w:val="clear" w:color="auto" w:fill="DBDBDB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6FAA8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Tukey's multiple comparisons test</w:t>
            </w:r>
          </w:p>
        </w:tc>
        <w:tc>
          <w:tcPr>
            <w:tcW w:w="811" w:type="pct"/>
            <w:shd w:val="clear" w:color="auto" w:fill="DBDBDB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AC325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Summary</w:t>
            </w:r>
          </w:p>
        </w:tc>
        <w:tc>
          <w:tcPr>
            <w:tcW w:w="1424" w:type="pct"/>
            <w:shd w:val="clear" w:color="auto" w:fill="DBDBDB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D1A30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Adjusted P Value</w:t>
            </w:r>
          </w:p>
        </w:tc>
      </w:tr>
      <w:tr w:rsidR="00A04348" w:rsidRPr="00FB540C" w14:paraId="0F13737A" w14:textId="77777777" w:rsidTr="00603EEE">
        <w:trPr>
          <w:trHeight w:val="283"/>
        </w:trPr>
        <w:tc>
          <w:tcPr>
            <w:tcW w:w="276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BD53A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Stage 1 vs. Stage 2</w:t>
            </w:r>
          </w:p>
        </w:tc>
        <w:tc>
          <w:tcPr>
            <w:tcW w:w="8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FFCB1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ns</w:t>
            </w:r>
          </w:p>
        </w:tc>
        <w:tc>
          <w:tcPr>
            <w:tcW w:w="142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DFE59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0.9758</w:t>
            </w:r>
          </w:p>
        </w:tc>
      </w:tr>
      <w:tr w:rsidR="00A04348" w:rsidRPr="00FB540C" w14:paraId="50A81335" w14:textId="77777777" w:rsidTr="00603EEE">
        <w:trPr>
          <w:trHeight w:val="283"/>
        </w:trPr>
        <w:tc>
          <w:tcPr>
            <w:tcW w:w="276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1CC4F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Stage 1 vs. Stage 3</w:t>
            </w:r>
          </w:p>
        </w:tc>
        <w:tc>
          <w:tcPr>
            <w:tcW w:w="8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7ED5C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ns</w:t>
            </w:r>
          </w:p>
        </w:tc>
        <w:tc>
          <w:tcPr>
            <w:tcW w:w="142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9A33C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&gt;0.9999</w:t>
            </w:r>
          </w:p>
        </w:tc>
      </w:tr>
      <w:tr w:rsidR="00A04348" w:rsidRPr="00FB540C" w14:paraId="199F2849" w14:textId="77777777" w:rsidTr="00603EEE">
        <w:trPr>
          <w:trHeight w:val="283"/>
        </w:trPr>
        <w:tc>
          <w:tcPr>
            <w:tcW w:w="276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5ACFF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Stage 1 vs. Stage 4</w:t>
            </w:r>
          </w:p>
        </w:tc>
        <w:tc>
          <w:tcPr>
            <w:tcW w:w="8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A9D30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ns</w:t>
            </w:r>
          </w:p>
        </w:tc>
        <w:tc>
          <w:tcPr>
            <w:tcW w:w="142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CF927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0.9948</w:t>
            </w:r>
          </w:p>
        </w:tc>
      </w:tr>
      <w:tr w:rsidR="00A04348" w:rsidRPr="00FB540C" w14:paraId="15E3429B" w14:textId="77777777" w:rsidTr="00603EEE">
        <w:trPr>
          <w:trHeight w:val="283"/>
        </w:trPr>
        <w:tc>
          <w:tcPr>
            <w:tcW w:w="276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92734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Stage 2 vs. Stage 3</w:t>
            </w:r>
          </w:p>
        </w:tc>
        <w:tc>
          <w:tcPr>
            <w:tcW w:w="8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1AF95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ns</w:t>
            </w:r>
          </w:p>
        </w:tc>
        <w:tc>
          <w:tcPr>
            <w:tcW w:w="142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9E217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0.9639</w:t>
            </w:r>
          </w:p>
        </w:tc>
      </w:tr>
      <w:tr w:rsidR="00A04348" w:rsidRPr="00FB540C" w14:paraId="3FE93F3F" w14:textId="77777777" w:rsidTr="00603EEE">
        <w:trPr>
          <w:trHeight w:val="283"/>
        </w:trPr>
        <w:tc>
          <w:tcPr>
            <w:tcW w:w="276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EFB44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Stage 2 vs. Stage 4</w:t>
            </w:r>
          </w:p>
        </w:tc>
        <w:tc>
          <w:tcPr>
            <w:tcW w:w="8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A3A12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ns</w:t>
            </w:r>
          </w:p>
        </w:tc>
        <w:tc>
          <w:tcPr>
            <w:tcW w:w="142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27A43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0.9999</w:t>
            </w:r>
          </w:p>
        </w:tc>
      </w:tr>
      <w:tr w:rsidR="00A04348" w:rsidRPr="00FB540C" w14:paraId="715197A4" w14:textId="77777777" w:rsidTr="00603EEE">
        <w:trPr>
          <w:trHeight w:val="283"/>
        </w:trPr>
        <w:tc>
          <w:tcPr>
            <w:tcW w:w="276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C24BB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Stage 3 vs. Stage 4</w:t>
            </w:r>
          </w:p>
        </w:tc>
        <w:tc>
          <w:tcPr>
            <w:tcW w:w="8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A19C3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ns</w:t>
            </w:r>
          </w:p>
        </w:tc>
        <w:tc>
          <w:tcPr>
            <w:tcW w:w="142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B232F" w14:textId="77777777" w:rsidR="00A04348" w:rsidRPr="00FB540C" w:rsidRDefault="00A04348" w:rsidP="00603EEE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B540C">
              <w:rPr>
                <w:rFonts w:asciiTheme="majorBidi" w:hAnsiTheme="majorBidi" w:cstheme="majorBidi"/>
                <w:b/>
                <w:bCs/>
                <w:color w:val="000000"/>
              </w:rPr>
              <w:t>0.9912</w:t>
            </w:r>
          </w:p>
        </w:tc>
      </w:tr>
    </w:tbl>
    <w:p w14:paraId="6233590D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66EC25E8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0C771B7D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50663498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7BFC8F2B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230D70AA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55A7EFF7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2907F920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53635434" w14:textId="77777777" w:rsidR="00A04348" w:rsidRDefault="00A04348" w:rsidP="00A04348">
      <w:pPr>
        <w:jc w:val="both"/>
        <w:rPr>
          <w:rFonts w:asciiTheme="majorBidi" w:hAnsiTheme="majorBidi" w:cstheme="majorBidi"/>
          <w:lang w:bidi="fa-IR"/>
        </w:rPr>
      </w:pPr>
    </w:p>
    <w:p w14:paraId="7B1B69F3" w14:textId="77777777" w:rsidR="00A04348" w:rsidRDefault="00A04348" w:rsidP="00A04348">
      <w:pPr>
        <w:jc w:val="both"/>
        <w:rPr>
          <w:rFonts w:asciiTheme="majorBidi" w:hAnsiTheme="majorBidi" w:cstheme="majorBidi"/>
          <w:lang w:bidi="fa-IR"/>
        </w:rPr>
      </w:pPr>
    </w:p>
    <w:p w14:paraId="55D07F80" w14:textId="03F813B2" w:rsidR="00A04348" w:rsidRPr="00A04348" w:rsidRDefault="00A04348" w:rsidP="00A04348">
      <w:pPr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>2</w:t>
      </w:r>
      <w:r w:rsidRPr="00076D56">
        <w:rPr>
          <w:rFonts w:asciiTheme="majorBidi" w:hAnsiTheme="majorBidi" w:cstheme="majorBidi"/>
          <w:b/>
          <w:bCs/>
          <w:lang w:bidi="fa-IR"/>
        </w:rPr>
        <w:t xml:space="preserve"> TNF-α Levels Based on Treatment</w:t>
      </w:r>
    </w:p>
    <w:p w14:paraId="27F01858" w14:textId="4270B61C" w:rsidR="00A04348" w:rsidRDefault="00A04348" w:rsidP="00A04348">
      <w:pPr>
        <w:jc w:val="both"/>
        <w:rPr>
          <w:rFonts w:asciiTheme="majorBidi" w:hAnsiTheme="majorBidi" w:cstheme="majorBidi"/>
          <w:rtl/>
          <w:lang w:bidi="fa-IR"/>
        </w:rPr>
      </w:pPr>
      <w:r w:rsidRPr="00076D56">
        <w:rPr>
          <w:rFonts w:asciiTheme="majorBidi" w:hAnsiTheme="majorBidi" w:cstheme="majorBidi"/>
          <w:lang w:bidi="fa-IR"/>
        </w:rPr>
        <w:t xml:space="preserve">Regarding treatment, there was no substantial difference in TNF-α levels across individuals undergoing different therapies for colon cancer. Specifically, the mean serum TNF-α levels were as follows: 235.2 ± 31.96 ng/L for patients undergoing biological therapy (n=10), 206.1 ± 16.78 ng/L for those receiving chemotherapy (n=13), 191.2 ± 45.19 ng/L for patients under immunotherapy (n=6), and 220.8 ± 24.53 ng/L for those who had surgical treatment (n=11). Statistical analysis showed no significant difference between these groups (P=0.7514). Details are provided in Figure </w:t>
      </w:r>
      <w:r>
        <w:rPr>
          <w:rFonts w:asciiTheme="majorBidi" w:hAnsiTheme="majorBidi" w:cstheme="majorBidi"/>
          <w:lang w:bidi="fa-IR"/>
        </w:rPr>
        <w:t>2</w:t>
      </w:r>
    </w:p>
    <w:p w14:paraId="00B703AB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44BD8039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7E9E4550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6CAD8079" w14:textId="34ECE1C6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3ED285" wp14:editId="721F288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59450" cy="4379595"/>
                <wp:effectExtent l="19050" t="19050" r="12700" b="1905"/>
                <wp:wrapNone/>
                <wp:docPr id="18167565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4379595"/>
                          <a:chOff x="0" y="0"/>
                          <a:chExt cx="5759450" cy="4379595"/>
                        </a:xfrm>
                      </wpg:grpSpPr>
                      <pic:pic xmlns:pic="http://schemas.openxmlformats.org/drawingml/2006/picture">
                        <pic:nvPicPr>
                          <pic:cNvPr id="1436573209" name="صورة 24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323977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928813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71850"/>
                            <a:ext cx="5759450" cy="1007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3CFF3" w14:textId="24BAF18E" w:rsidR="00A04348" w:rsidRDefault="00A04348" w:rsidP="00A04348">
                              <w:pPr>
                                <w:jc w:val="both"/>
                                <w:rPr>
                                  <w:rFonts w:asciiTheme="majorBidi" w:hAnsiTheme="majorBidi" w:cstheme="majorBidi"/>
                                  <w:rtl/>
                                  <w:lang w:bidi="fa-IR"/>
                                </w:rPr>
                              </w:pPr>
                              <w:r w:rsidRPr="0045421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lang w:bidi="fa-IR"/>
                                </w:rPr>
                                <w:t xml:space="preserve">Figure 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lang w:bidi="fa-IR"/>
                                </w:rPr>
                                <w:t>2</w:t>
                              </w:r>
                              <w:r w:rsidRPr="0045421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lang w:bidi="fa-IR"/>
                                </w:rPr>
                                <w:t xml:space="preserve">: </w:t>
                              </w:r>
                              <w:r w:rsidRPr="00454215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Comparison of TNF-α concentration based on different treatment types for colon cancer. The figure shows no significant differences in TNF-α levels among patients undergoing biological therapy, chemotherapy, immunotherapy, or surgical treatment.</w:t>
                              </w:r>
                            </w:p>
                            <w:p w14:paraId="5A4D54DF" w14:textId="77777777" w:rsidR="00A04348" w:rsidRDefault="00A04348" w:rsidP="00A04348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513ED285" id="Group 7" o:spid="_x0000_s1027" style="position:absolute;left:0;text-align:left;margin-left:0;margin-top:1.5pt;width:453.5pt;height:344.85pt;z-index:251661312" coordsize="57594,4379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24" o:spid="_x0000_s1028" type="#_x0000_t75" style="position:absolute;width:57594;height:32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" stroked="t" strokecolor="black [3213]" strokeweight="1.5pt">
                  <v:imagedata r:id="rId6" o:title=""/>
                  <v:path arrowok="t"/>
                  <o:lock v:ext="edit" aspectratio="f"/>
                </v:shape>
                <v:shape id="_x0000_s1029" type="#_x0000_t202" style="position:absolute;top:33718;width:57594;height:10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" stroked="f">
                  <v:textbox style="mso-fit-shape-to-text:t">
                    <w:txbxContent>
                      <w:p w14:paraId="1103CFF3" w14:textId="24BAF18E" w:rsidR="00A04348" w:rsidRDefault="00A04348" w:rsidP="00A04348">
                        <w:pPr>
                          <w:jc w:val="both"/>
                          <w:rPr>
                            <w:rFonts w:asciiTheme="majorBidi" w:hAnsiTheme="majorBidi" w:cstheme="majorBidi"/>
                            <w:rtl/>
                            <w:lang w:bidi="fa-IR"/>
                          </w:rPr>
                        </w:pPr>
                        <w:r w:rsidRPr="00454215">
                          <w:rPr>
                            <w:rFonts w:asciiTheme="majorBidi" w:hAnsiTheme="majorBidi" w:cstheme="majorBidi"/>
                            <w:b/>
                            <w:bCs/>
                            <w:lang w:bidi="fa-IR"/>
                          </w:rPr>
                          <w:t xml:space="preserve">Figure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lang w:bidi="fa-IR"/>
                          </w:rPr>
                          <w:t>2</w:t>
                        </w:r>
                        <w:r w:rsidRPr="00454215">
                          <w:rPr>
                            <w:rFonts w:asciiTheme="majorBidi" w:hAnsiTheme="majorBidi" w:cstheme="majorBidi"/>
                            <w:b/>
                            <w:bCs/>
                            <w:lang w:bidi="fa-IR"/>
                          </w:rPr>
                          <w:t xml:space="preserve">: </w:t>
                        </w:r>
                        <w:r w:rsidRPr="00454215">
                          <w:rPr>
                            <w:rFonts w:asciiTheme="majorBidi" w:hAnsiTheme="majorBidi" w:cstheme="majorBidi"/>
                            <w:lang w:bidi="fa-IR"/>
                          </w:rPr>
                          <w:t>Comparison of TNF-α concentration based on different treatment types for colon cancer. The figure shows no significant differences in TNF-α levels among patients undergoing biological therapy, chemotherapy, immunotherapy, or surgical treatment.</w:t>
                        </w:r>
                      </w:p>
                      <w:p w14:paraId="5A4D54DF" w14:textId="77777777" w:rsidR="00A04348" w:rsidRDefault="00A04348" w:rsidP="00A04348"/>
                    </w:txbxContent>
                  </v:textbox>
                </v:shape>
              </v:group>
            </w:pict>
          </mc:Fallback>
        </mc:AlternateContent>
      </w:r>
    </w:p>
    <w:p w14:paraId="29A42809" w14:textId="77777777" w:rsidR="001B2459" w:rsidRDefault="001B2459"/>
    <w:p w14:paraId="2D8586A8" w14:textId="77777777" w:rsidR="00A04348" w:rsidRDefault="00A04348"/>
    <w:p w14:paraId="64FD8AD8" w14:textId="77777777" w:rsidR="00A04348" w:rsidRDefault="00A04348"/>
    <w:p w14:paraId="20D4D9DB" w14:textId="77777777" w:rsidR="00A04348" w:rsidRDefault="00A04348"/>
    <w:p w14:paraId="11E4B7B3" w14:textId="77777777" w:rsidR="00A04348" w:rsidRDefault="00A04348"/>
    <w:p w14:paraId="4759402C" w14:textId="77777777" w:rsidR="00A04348" w:rsidRDefault="00A04348"/>
    <w:p w14:paraId="7E753063" w14:textId="77777777" w:rsidR="00A04348" w:rsidRDefault="00A04348"/>
    <w:p w14:paraId="35D0E113" w14:textId="77777777" w:rsidR="00A04348" w:rsidRDefault="00A04348"/>
    <w:p w14:paraId="184FF5C1" w14:textId="77777777" w:rsidR="00A04348" w:rsidRDefault="00A04348"/>
    <w:p w14:paraId="1056949A" w14:textId="77777777" w:rsidR="00A04348" w:rsidRDefault="00A04348"/>
    <w:p w14:paraId="7035534D" w14:textId="77777777" w:rsidR="00A04348" w:rsidRDefault="00A04348"/>
    <w:p w14:paraId="7D34565E" w14:textId="77777777" w:rsidR="00A04348" w:rsidRDefault="00A04348"/>
    <w:p w14:paraId="12668E11" w14:textId="77777777" w:rsidR="00A04348" w:rsidRDefault="00A04348"/>
    <w:p w14:paraId="4FBB49F3" w14:textId="77777777" w:rsidR="00A04348" w:rsidRDefault="00A04348"/>
    <w:p w14:paraId="232E27FE" w14:textId="77777777" w:rsidR="00A04348" w:rsidRDefault="00A04348"/>
    <w:p w14:paraId="54A77E7A" w14:textId="77777777" w:rsidR="00A04348" w:rsidRDefault="00A04348"/>
    <w:p w14:paraId="35ED9EF5" w14:textId="77777777" w:rsidR="00A04348" w:rsidRDefault="00A04348"/>
    <w:p w14:paraId="7ACEDBCA" w14:textId="77777777" w:rsidR="00A04348" w:rsidRDefault="00A04348"/>
    <w:p w14:paraId="6EAE162F" w14:textId="77777777" w:rsidR="00A04348" w:rsidRDefault="00A04348"/>
    <w:p w14:paraId="4295730A" w14:textId="77777777" w:rsidR="00A04348" w:rsidRDefault="00A04348"/>
    <w:p w14:paraId="051ECE5E" w14:textId="2E097C64" w:rsidR="00A04348" w:rsidRPr="000D4923" w:rsidRDefault="00A04348" w:rsidP="00A04348">
      <w:pPr>
        <w:widowControl w:val="0"/>
        <w:autoSpaceDE w:val="0"/>
        <w:autoSpaceDN w:val="0"/>
        <w:spacing w:after="0" w:line="360" w:lineRule="auto"/>
        <w:ind w:left="270" w:hanging="180"/>
        <w:jc w:val="both"/>
        <w:rPr>
          <w:rFonts w:asciiTheme="majorBidi" w:eastAsia="Calibri" w:hAnsiTheme="majorBidi" w:cstheme="majorBidi"/>
          <w:b/>
          <w:bCs/>
        </w:rPr>
      </w:pPr>
      <w:r w:rsidRPr="00852B87">
        <w:rPr>
          <w:rFonts w:asciiTheme="majorBidi" w:eastAsia="Calibri" w:hAnsiTheme="majorBidi" w:cstheme="majorBidi"/>
          <w:b/>
          <w:bCs/>
        </w:rPr>
        <w:lastRenderedPageBreak/>
        <w:t xml:space="preserve">3. </w:t>
      </w:r>
      <w:r w:rsidRPr="000D4923">
        <w:rPr>
          <w:rFonts w:asciiTheme="majorBidi" w:hAnsiTheme="majorBidi" w:cstheme="majorBidi"/>
          <w:b/>
          <w:bCs/>
          <w:lang w:bidi="fa-IR"/>
        </w:rPr>
        <w:t xml:space="preserve">COX-2 </w:t>
      </w:r>
      <w:r w:rsidRPr="00852B87">
        <w:rPr>
          <w:rFonts w:asciiTheme="majorBidi" w:eastAsia="Calibri" w:hAnsiTheme="majorBidi" w:cstheme="majorBidi"/>
          <w:b/>
          <w:bCs/>
        </w:rPr>
        <w:t>Levels by Cancer Stage</w:t>
      </w:r>
    </w:p>
    <w:p w14:paraId="09DFAE3D" w14:textId="36DC1B21" w:rsidR="00A04348" w:rsidRDefault="00A04348" w:rsidP="00A04348">
      <w:pPr>
        <w:jc w:val="both"/>
        <w:rPr>
          <w:rFonts w:asciiTheme="majorBidi" w:hAnsiTheme="majorBidi" w:cstheme="majorBidi"/>
          <w:lang w:bidi="fa-IR"/>
        </w:rPr>
      </w:pPr>
      <w:r w:rsidRPr="005E0BCA">
        <w:rPr>
          <w:rFonts w:asciiTheme="majorBidi" w:hAnsiTheme="majorBidi" w:cstheme="majorBidi"/>
          <w:lang w:bidi="fa-IR"/>
        </w:rPr>
        <w:t>In the evaluation of COX-2 (U/L) levels among patients diagnosed with colon cancer, there was no statistically significant variation across different stages of the disease. The overall P value for these comparisons was 0.4048, indicating no significant differences between the stages (ns).</w:t>
      </w:r>
      <w:r w:rsidRPr="000D4923">
        <w:rPr>
          <w:rFonts w:asciiTheme="majorBidi" w:hAnsiTheme="majorBidi" w:cstheme="majorBidi"/>
          <w:b/>
          <w:bCs/>
          <w:lang w:bidi="fa-IR"/>
        </w:rPr>
        <w:t>Figure 3</w:t>
      </w:r>
      <w:r w:rsidRPr="000D4923">
        <w:rPr>
          <w:rFonts w:asciiTheme="majorBidi" w:hAnsiTheme="majorBidi" w:cstheme="majorBidi"/>
          <w:lang w:bidi="fa-IR"/>
        </w:rPr>
        <w:t> </w:t>
      </w:r>
    </w:p>
    <w:p w14:paraId="101FF288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2CEF8A02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74FC4877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58098CA9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4685060A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20DACE08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718FBDCD" w14:textId="784597BB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  <w:r w:rsidRPr="00FB540C">
        <w:rPr>
          <w:rFonts w:asciiTheme="majorBidi" w:eastAsia="Times New Roman" w:hAnsiTheme="majorBidi" w:cstheme="majorBidi"/>
          <w:b/>
          <w:bCs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44E0A02E" wp14:editId="10EA1877">
            <wp:simplePos x="0" y="0"/>
            <wp:positionH relativeFrom="column">
              <wp:posOffset>9525</wp:posOffset>
            </wp:positionH>
            <wp:positionV relativeFrom="paragraph">
              <wp:posOffset>111125</wp:posOffset>
            </wp:positionV>
            <wp:extent cx="5759450" cy="3239770"/>
            <wp:effectExtent l="19050" t="19050" r="12700" b="17780"/>
            <wp:wrapNone/>
            <wp:docPr id="45" name="صورة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ge COX-2.emf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4877E" w14:textId="73427299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4323E337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26853A25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07542ED4" w14:textId="45A0E819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5E0E37C7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33F7C5D2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420D6946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04430C56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0C40EE22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338AA9CE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614A9211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1A05E546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06797DF3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50ADA3C4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666A11F0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270DA5E2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3D51AB79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10863E65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6B82CD6A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2B510193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2E73FC44" w14:textId="77777777" w:rsidR="00A04348" w:rsidRDefault="00A04348" w:rsidP="00A04348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</w:rPr>
      </w:pPr>
    </w:p>
    <w:p w14:paraId="75931B5B" w14:textId="3CF5D79A" w:rsidR="00A04348" w:rsidRDefault="00A04348" w:rsidP="00A04348">
      <w:pPr>
        <w:spacing w:after="0" w:line="240" w:lineRule="auto"/>
        <w:jc w:val="both"/>
        <w:rPr>
          <w:rFonts w:asciiTheme="majorBidi" w:hAnsiTheme="majorBidi" w:cstheme="majorBidi"/>
          <w:rtl/>
          <w:lang w:bidi="fa-IR"/>
        </w:rPr>
      </w:pPr>
      <w:r w:rsidRPr="00745717">
        <w:rPr>
          <w:rFonts w:asciiTheme="majorBidi" w:eastAsia="Times New Roman" w:hAnsiTheme="majorBidi" w:cstheme="majorBidi"/>
          <w:b/>
          <w:bCs/>
          <w:color w:val="000000"/>
        </w:rPr>
        <w:t>Figure 3:</w:t>
      </w:r>
      <w:r w:rsidRPr="00D7353C">
        <w:rPr>
          <w:rFonts w:asciiTheme="majorBidi" w:eastAsia="Times New Roman" w:hAnsiTheme="majorBidi" w:cstheme="majorBidi"/>
          <w:color w:val="000000"/>
        </w:rPr>
        <w:t xml:space="preserve"> </w:t>
      </w:r>
      <w:r w:rsidRPr="0043204E">
        <w:rPr>
          <w:rFonts w:asciiTheme="majorBidi" w:eastAsia="Times New Roman" w:hAnsiTheme="majorBidi" w:cstheme="majorBidi"/>
          <w:color w:val="000000"/>
        </w:rPr>
        <w:t>Comparison of COX-2 concentrations based on the differences between stages of colon cancer. The mean COX-2 levels recorded for each stage were as follows: Stage 1 (n=11) had a mean level of 137.7 ± 15.55, Stage 2 (n=13) displayed 153.2 ± 15.46, Stage 3 (n=11) showed 120.7 ± 16.5, and Stage 4 (n=5) had a mean level of 163.8 ± 28.85. The ranges for each stage were 69.53 - 237.3 for Stage 1, 78.2 - 236.1 for Stage 2, 77.59 - 239.4 for Stage 3, and 90.05 - 235 for Stage 4.</w:t>
      </w:r>
    </w:p>
    <w:p w14:paraId="7A7077A2" w14:textId="542447A8" w:rsidR="00A04348" w:rsidRDefault="00A04348"/>
    <w:p w14:paraId="69CD0D9E" w14:textId="1DA0D27D" w:rsidR="0049487D" w:rsidRDefault="0049487D" w:rsidP="0049487D">
      <w:pPr>
        <w:jc w:val="both"/>
        <w:rPr>
          <w:rFonts w:asciiTheme="majorBidi" w:hAnsiTheme="majorBidi" w:cstheme="majorBidi"/>
          <w:b/>
          <w:bCs/>
          <w:rtl/>
          <w:lang w:bidi="fa-IR"/>
        </w:rPr>
      </w:pPr>
      <w:bookmarkStart w:id="1" w:name="_Hlk186967252"/>
      <w:r>
        <w:rPr>
          <w:rFonts w:asciiTheme="majorBidi" w:hAnsiTheme="majorBidi" w:cstheme="majorBidi"/>
          <w:b/>
          <w:bCs/>
          <w:lang w:bidi="fa-IR"/>
        </w:rPr>
        <w:t>4</w:t>
      </w:r>
      <w:r w:rsidRPr="00EC378D">
        <w:rPr>
          <w:rFonts w:asciiTheme="majorBidi" w:hAnsiTheme="majorBidi" w:cstheme="majorBidi"/>
          <w:b/>
          <w:bCs/>
          <w:lang w:bidi="fa-IR"/>
        </w:rPr>
        <w:t xml:space="preserve"> COX-2 Levels Based on Treatment</w:t>
      </w:r>
    </w:p>
    <w:bookmarkEnd w:id="1"/>
    <w:p w14:paraId="7A905C2F" w14:textId="77777777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  <w:r w:rsidRPr="00EC378D">
        <w:rPr>
          <w:rFonts w:asciiTheme="majorBidi" w:hAnsiTheme="majorBidi" w:cstheme="majorBidi"/>
          <w:lang w:bidi="fa-IR"/>
        </w:rPr>
        <w:t xml:space="preserve"> Regarding treatment modalities, there was no substantial difference in COX-2 levels across individuals undergoing different therapies for colon cancer. The overall P value for the comparison of these treatments was 0.0843, indicating no significant differences among treatment types (ns). These findings suggest that COX-2 levels remain consistent across various treatment modalities.</w:t>
      </w:r>
    </w:p>
    <w:p w14:paraId="21A544B8" w14:textId="77777777" w:rsidR="0049487D" w:rsidRDefault="0049487D" w:rsidP="0049487D">
      <w:pPr>
        <w:jc w:val="both"/>
        <w:rPr>
          <w:rFonts w:asciiTheme="majorBidi" w:hAnsiTheme="majorBidi" w:cstheme="majorBidi"/>
          <w:lang w:bidi="fa-IR"/>
        </w:rPr>
      </w:pPr>
    </w:p>
    <w:p w14:paraId="20DAC202" w14:textId="77777777" w:rsidR="0049487D" w:rsidRDefault="0049487D" w:rsidP="0049487D">
      <w:pPr>
        <w:jc w:val="both"/>
        <w:rPr>
          <w:rFonts w:asciiTheme="majorBidi" w:hAnsiTheme="majorBidi" w:cstheme="majorBidi"/>
          <w:lang w:bidi="fa-IR"/>
        </w:rPr>
      </w:pPr>
    </w:p>
    <w:p w14:paraId="6CEE7354" w14:textId="77777777" w:rsidR="0049487D" w:rsidRDefault="0049487D" w:rsidP="0049487D">
      <w:pPr>
        <w:jc w:val="both"/>
        <w:rPr>
          <w:rFonts w:asciiTheme="majorBidi" w:hAnsiTheme="majorBidi" w:cstheme="majorBidi"/>
          <w:lang w:bidi="fa-IR"/>
        </w:rPr>
      </w:pPr>
    </w:p>
    <w:p w14:paraId="0F2D6599" w14:textId="03519C86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  <w:r w:rsidRPr="00FB540C">
        <w:rPr>
          <w:rFonts w:asciiTheme="majorBidi" w:eastAsia="Times New Roman" w:hAnsiTheme="majorBidi" w:cstheme="majorBidi"/>
          <w:b/>
          <w:bCs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57F3AEC0" wp14:editId="3A83DCEF">
            <wp:simplePos x="0" y="0"/>
            <wp:positionH relativeFrom="column">
              <wp:posOffset>0</wp:posOffset>
            </wp:positionH>
            <wp:positionV relativeFrom="paragraph">
              <wp:posOffset>186690</wp:posOffset>
            </wp:positionV>
            <wp:extent cx="5759450" cy="3239770"/>
            <wp:effectExtent l="19050" t="19050" r="12700" b="17780"/>
            <wp:wrapNone/>
            <wp:docPr id="47" name="صورة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tment  COX-2.emf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F4F0F" w14:textId="77777777" w:rsidR="0049487D" w:rsidRDefault="0049487D" w:rsidP="0049487D">
      <w:pPr>
        <w:jc w:val="both"/>
        <w:rPr>
          <w:rFonts w:asciiTheme="majorBidi" w:eastAsia="Times New Roman" w:hAnsiTheme="majorBidi" w:cstheme="majorBidi"/>
          <w:b/>
          <w:bCs/>
          <w:noProof/>
          <w:color w:val="000000"/>
          <w:rtl/>
        </w:rPr>
      </w:pPr>
    </w:p>
    <w:p w14:paraId="09A8E04C" w14:textId="77777777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</w:p>
    <w:p w14:paraId="2EB18207" w14:textId="77777777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</w:p>
    <w:p w14:paraId="6AD605C8" w14:textId="77777777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</w:p>
    <w:p w14:paraId="2FA8AF2F" w14:textId="77777777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</w:p>
    <w:p w14:paraId="75557CB5" w14:textId="77777777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</w:p>
    <w:p w14:paraId="6B9E1567" w14:textId="77777777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</w:p>
    <w:p w14:paraId="2AA7EEC1" w14:textId="77777777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</w:p>
    <w:p w14:paraId="077F2FF8" w14:textId="77777777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</w:p>
    <w:p w14:paraId="355FE601" w14:textId="77777777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</w:p>
    <w:p w14:paraId="3B0794F2" w14:textId="77777777" w:rsidR="0049487D" w:rsidRDefault="0049487D" w:rsidP="0049487D">
      <w:pPr>
        <w:jc w:val="both"/>
        <w:rPr>
          <w:rFonts w:asciiTheme="majorBidi" w:hAnsiTheme="majorBidi" w:cstheme="majorBidi"/>
          <w:rtl/>
          <w:lang w:bidi="fa-IR"/>
        </w:rPr>
      </w:pPr>
    </w:p>
    <w:p w14:paraId="2CE9E6ED" w14:textId="77777777" w:rsidR="0049487D" w:rsidRDefault="0049487D" w:rsidP="0049487D">
      <w:pPr>
        <w:jc w:val="both"/>
        <w:rPr>
          <w:rFonts w:asciiTheme="majorBidi" w:hAnsiTheme="majorBidi" w:cstheme="majorBidi"/>
          <w:lang w:bidi="fa-IR"/>
        </w:rPr>
      </w:pPr>
    </w:p>
    <w:p w14:paraId="244CD1DD" w14:textId="77777777" w:rsidR="0049487D" w:rsidRDefault="0049487D" w:rsidP="0049487D">
      <w:pPr>
        <w:jc w:val="both"/>
        <w:rPr>
          <w:rFonts w:asciiTheme="majorBidi" w:hAnsiTheme="majorBidi" w:cstheme="majorBidi"/>
          <w:lang w:bidi="fa-IR"/>
        </w:rPr>
      </w:pPr>
    </w:p>
    <w:p w14:paraId="321BD4DE" w14:textId="4E44F6BA" w:rsidR="0049487D" w:rsidRDefault="0049487D" w:rsidP="0049487D">
      <w:pPr>
        <w:jc w:val="both"/>
        <w:rPr>
          <w:rFonts w:asciiTheme="majorBidi" w:hAnsiTheme="majorBidi" w:cstheme="majorBidi"/>
          <w:lang w:bidi="fa-IR"/>
        </w:rPr>
      </w:pPr>
      <w:r w:rsidRPr="00745717">
        <w:rPr>
          <w:rFonts w:asciiTheme="majorBidi" w:hAnsiTheme="majorBidi" w:cstheme="majorBidi"/>
          <w:b/>
          <w:bCs/>
          <w:lang w:bidi="fa-IR"/>
        </w:rPr>
        <w:t xml:space="preserve">Figure </w:t>
      </w:r>
      <w:r>
        <w:rPr>
          <w:rFonts w:asciiTheme="majorBidi" w:hAnsiTheme="majorBidi" w:cstheme="majorBidi"/>
          <w:b/>
          <w:bCs/>
          <w:lang w:bidi="fa-IR"/>
        </w:rPr>
        <w:t>4</w:t>
      </w:r>
      <w:r>
        <w:rPr>
          <w:rFonts w:asciiTheme="majorBidi" w:hAnsiTheme="majorBidi" w:cstheme="majorBidi"/>
          <w:lang w:bidi="fa-IR"/>
        </w:rPr>
        <w:t xml:space="preserve">: </w:t>
      </w:r>
      <w:r w:rsidRPr="00EC378D">
        <w:rPr>
          <w:rFonts w:asciiTheme="majorBidi" w:hAnsiTheme="majorBidi" w:cstheme="majorBidi"/>
          <w:lang w:bidi="fa-IR"/>
        </w:rPr>
        <w:t>Mean COX-2 levels recorded for different treatment modalities show variation, but not statistically significant differences. In patients undergoing biological therapy (n=10), the mean COX-2 level was 108.9 ± 12.68, while those receiving chemotherapy (n=13) had a mean of 153.2 ± 15.46. Patients treated with immunotherapy (n=6) exhibited a mean COX-2 level of 176.4 ± 26.71, and those who underwent surgical treatment (n=11) had a mean of 137.7 ± 15.55. The observed ranges of COX-2 levels were as follows: 77.59 - 204.3 for biological therapy, 78.2 - 236.1 for chemotherapy, 90.05 - 239.4 for immunotherapy, and 69.53 - 237.3 for surgical treatment.</w:t>
      </w:r>
    </w:p>
    <w:p w14:paraId="70C20A5C" w14:textId="77777777" w:rsidR="0049487D" w:rsidRDefault="0049487D" w:rsidP="0049487D">
      <w:pPr>
        <w:jc w:val="both"/>
        <w:rPr>
          <w:rFonts w:asciiTheme="majorBidi" w:hAnsiTheme="majorBidi" w:cstheme="majorBidi"/>
          <w:lang w:bidi="fa-IR"/>
        </w:rPr>
      </w:pPr>
    </w:p>
    <w:p w14:paraId="37C41213" w14:textId="77777777" w:rsidR="0049487D" w:rsidRDefault="0049487D" w:rsidP="0049487D">
      <w:pPr>
        <w:jc w:val="both"/>
        <w:rPr>
          <w:rFonts w:asciiTheme="majorBidi" w:hAnsiTheme="majorBidi" w:cstheme="majorBidi"/>
          <w:lang w:bidi="fa-IR"/>
        </w:rPr>
      </w:pPr>
    </w:p>
    <w:p w14:paraId="3D260F74" w14:textId="77777777" w:rsidR="0049487D" w:rsidRDefault="0049487D" w:rsidP="0049487D">
      <w:pPr>
        <w:jc w:val="both"/>
        <w:rPr>
          <w:rFonts w:asciiTheme="majorBidi" w:hAnsiTheme="majorBidi" w:cstheme="majorBidi"/>
          <w:lang w:bidi="fa-IR"/>
        </w:rPr>
      </w:pPr>
    </w:p>
    <w:p w14:paraId="0317D8F6" w14:textId="77777777" w:rsidR="00477DB3" w:rsidRDefault="00477DB3" w:rsidP="0049487D">
      <w:pPr>
        <w:jc w:val="both"/>
        <w:rPr>
          <w:rFonts w:asciiTheme="majorBidi" w:hAnsiTheme="majorBidi" w:cstheme="majorBidi"/>
          <w:lang w:bidi="fa-IR"/>
        </w:rPr>
      </w:pPr>
    </w:p>
    <w:p w14:paraId="064F28B3" w14:textId="77777777" w:rsidR="00477DB3" w:rsidRDefault="00477DB3" w:rsidP="0049487D">
      <w:pPr>
        <w:jc w:val="both"/>
        <w:rPr>
          <w:rFonts w:asciiTheme="majorBidi" w:hAnsiTheme="majorBidi" w:cstheme="majorBidi"/>
          <w:lang w:bidi="fa-IR"/>
        </w:rPr>
      </w:pPr>
    </w:p>
    <w:p w14:paraId="14FF862A" w14:textId="77777777" w:rsidR="00477DB3" w:rsidRDefault="00477DB3" w:rsidP="0049487D">
      <w:pPr>
        <w:jc w:val="both"/>
        <w:rPr>
          <w:rFonts w:asciiTheme="majorBidi" w:hAnsiTheme="majorBidi" w:cstheme="majorBidi"/>
          <w:lang w:bidi="fa-IR"/>
        </w:rPr>
      </w:pPr>
    </w:p>
    <w:p w14:paraId="61A47F32" w14:textId="77777777" w:rsidR="00477DB3" w:rsidRDefault="00477DB3" w:rsidP="0049487D">
      <w:pPr>
        <w:jc w:val="both"/>
        <w:rPr>
          <w:rFonts w:asciiTheme="majorBidi" w:hAnsiTheme="majorBidi" w:cstheme="majorBidi"/>
          <w:lang w:bidi="fa-IR"/>
        </w:rPr>
      </w:pPr>
    </w:p>
    <w:p w14:paraId="57BE553E" w14:textId="77777777" w:rsidR="00477DB3" w:rsidRDefault="00477DB3" w:rsidP="0049487D">
      <w:pPr>
        <w:jc w:val="both"/>
        <w:rPr>
          <w:rFonts w:asciiTheme="majorBidi" w:hAnsiTheme="majorBidi" w:cstheme="majorBidi"/>
          <w:lang w:bidi="fa-IR"/>
        </w:rPr>
      </w:pPr>
    </w:p>
    <w:p w14:paraId="1352E88F" w14:textId="77777777" w:rsidR="00477DB3" w:rsidRDefault="00477DB3" w:rsidP="0049487D">
      <w:pPr>
        <w:jc w:val="both"/>
        <w:rPr>
          <w:rFonts w:asciiTheme="majorBidi" w:hAnsiTheme="majorBidi" w:cstheme="majorBidi"/>
          <w:lang w:bidi="fa-IR"/>
        </w:rPr>
      </w:pPr>
    </w:p>
    <w:p w14:paraId="01D7801E" w14:textId="77777777" w:rsidR="00477DB3" w:rsidRDefault="00477DB3" w:rsidP="0049487D">
      <w:pPr>
        <w:jc w:val="both"/>
        <w:rPr>
          <w:rFonts w:asciiTheme="majorBidi" w:hAnsiTheme="majorBidi" w:cstheme="majorBidi"/>
          <w:lang w:bidi="fa-IR"/>
        </w:rPr>
      </w:pPr>
    </w:p>
    <w:p w14:paraId="4E297A25" w14:textId="77320D35" w:rsidR="00BF772E" w:rsidRPr="001705D0" w:rsidRDefault="00BF772E" w:rsidP="00BF772E">
      <w:pPr>
        <w:ind w:left="-270"/>
        <w:jc w:val="both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lastRenderedPageBreak/>
        <w:t xml:space="preserve">5 </w:t>
      </w:r>
      <w:r w:rsidRPr="001705D0">
        <w:rPr>
          <w:rFonts w:asciiTheme="majorBidi" w:hAnsiTheme="majorBidi" w:cstheme="majorBidi"/>
          <w:b/>
          <w:bCs/>
          <w:lang w:bidi="fa-IR"/>
        </w:rPr>
        <w:t>NOX1 Levels Based on Disease Stage</w:t>
      </w:r>
    </w:p>
    <w:p w14:paraId="283FB0EA" w14:textId="77777777" w:rsidR="00BF772E" w:rsidRPr="001705D0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  <w:r w:rsidRPr="001705D0">
        <w:rPr>
          <w:rFonts w:asciiTheme="majorBidi" w:hAnsiTheme="majorBidi" w:cstheme="majorBidi"/>
          <w:lang w:bidi="fa-IR"/>
        </w:rPr>
        <w:t>There was no statistically significant variation in the levels of NOX1 (ng/L) across different stages of illness in individuals diagnosed with colon cancer. The overall P value for these comparisons was 0.9224, indicating no significant differences between groups (ns). These results indicate that NOX1 levels remain relatively consistent across different disease stages in colon cancer patients.</w:t>
      </w:r>
    </w:p>
    <w:p w14:paraId="2E72C1D2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  <w:r w:rsidRPr="00FB540C">
        <w:rPr>
          <w:rFonts w:asciiTheme="majorBidi" w:eastAsia="Times New Roman" w:hAnsiTheme="majorBidi" w:cstheme="majorBidi"/>
          <w:b/>
          <w:bCs/>
          <w:noProof/>
          <w:color w:val="000000"/>
        </w:rPr>
        <w:drawing>
          <wp:anchor distT="0" distB="0" distL="114300" distR="114300" simplePos="0" relativeHeight="251669504" behindDoc="0" locked="0" layoutInCell="1" allowOverlap="1" wp14:anchorId="328A3545" wp14:editId="7B2A6DA2">
            <wp:simplePos x="0" y="0"/>
            <wp:positionH relativeFrom="column">
              <wp:posOffset>-57150</wp:posOffset>
            </wp:positionH>
            <wp:positionV relativeFrom="paragraph">
              <wp:posOffset>130810</wp:posOffset>
            </wp:positionV>
            <wp:extent cx="5759450" cy="3240000"/>
            <wp:effectExtent l="19050" t="19050" r="12700" b="17780"/>
            <wp:wrapNone/>
            <wp:docPr id="59" name="صورة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ge NOX1.emf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4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273B4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3E9D6EC6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38AF661D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3BED4B9D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197AA127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108503DA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59F17BE4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202AAE6D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207241D9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5A54E8CA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b/>
          <w:bCs/>
          <w:lang w:bidi="fa-IR"/>
        </w:rPr>
      </w:pPr>
    </w:p>
    <w:p w14:paraId="067367C0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b/>
          <w:bCs/>
          <w:lang w:bidi="fa-IR"/>
        </w:rPr>
      </w:pPr>
    </w:p>
    <w:p w14:paraId="145FE67A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b/>
          <w:bCs/>
          <w:lang w:bidi="fa-IR"/>
        </w:rPr>
      </w:pPr>
    </w:p>
    <w:p w14:paraId="3E1992DD" w14:textId="47853365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  <w:r w:rsidRPr="009B52B5">
        <w:rPr>
          <w:rFonts w:asciiTheme="majorBidi" w:hAnsiTheme="majorBidi" w:cstheme="majorBidi"/>
          <w:b/>
          <w:bCs/>
          <w:lang w:bidi="fa-IR"/>
        </w:rPr>
        <w:t xml:space="preserve">Figure </w:t>
      </w:r>
      <w:r>
        <w:rPr>
          <w:rFonts w:asciiTheme="majorBidi" w:hAnsiTheme="majorBidi" w:cstheme="majorBidi"/>
          <w:b/>
          <w:bCs/>
          <w:lang w:bidi="fa-IR"/>
        </w:rPr>
        <w:t>5</w:t>
      </w:r>
      <w:r w:rsidRPr="009B52B5">
        <w:rPr>
          <w:rFonts w:asciiTheme="majorBidi" w:hAnsiTheme="majorBidi" w:cstheme="majorBidi"/>
          <w:b/>
          <w:bCs/>
          <w:lang w:bidi="fa-IR"/>
        </w:rPr>
        <w:t>:</w:t>
      </w:r>
      <w:r w:rsidRPr="009B52B5">
        <w:rPr>
          <w:rFonts w:asciiTheme="majorBidi" w:hAnsiTheme="majorBidi" w:cstheme="majorBidi"/>
          <w:lang w:bidi="fa-IR"/>
        </w:rPr>
        <w:t xml:space="preserve"> Comparison of NOX1 concentrations across different stages of colon cancer. The mean NOX1 levels recorded for each disease stage were as follows: Stage 1 (n=11) had a mean level of 8.401 ± 0.973, Stage 2 (n=13) displayed 8.852 ± 0.7963, Stage 3 (n=11) showed 8.077 ± 1.048, and Stage 4 (n=5) had a mean level of 8.998 ± 1.441. The ranges for each stage were 4.12 - 13.25 for Stage 1, 5.29 - 13.41 for Stage 2, 4 - 14.92 for Stage 3, and 4.45 - 13.21 for Stage 4.</w:t>
      </w:r>
    </w:p>
    <w:p w14:paraId="7623F921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5D1966D1" w14:textId="77777777" w:rsidR="00BF772E" w:rsidRDefault="00BF772E" w:rsidP="00BF772E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7DDC396C" w14:textId="77777777" w:rsidR="00BF772E" w:rsidRDefault="00BF772E" w:rsidP="0049487D">
      <w:pPr>
        <w:jc w:val="both"/>
        <w:rPr>
          <w:rFonts w:asciiTheme="majorBidi" w:hAnsiTheme="majorBidi" w:cstheme="majorBidi"/>
          <w:lang w:bidi="fa-IR"/>
        </w:rPr>
      </w:pPr>
    </w:p>
    <w:p w14:paraId="3919C993" w14:textId="77777777" w:rsidR="00BF772E" w:rsidRDefault="00BF772E" w:rsidP="0049487D">
      <w:pPr>
        <w:jc w:val="both"/>
        <w:rPr>
          <w:rFonts w:asciiTheme="majorBidi" w:hAnsiTheme="majorBidi" w:cstheme="majorBidi"/>
          <w:lang w:bidi="fa-IR"/>
        </w:rPr>
      </w:pPr>
    </w:p>
    <w:p w14:paraId="79DFC949" w14:textId="77777777" w:rsidR="00BF772E" w:rsidRDefault="00BF772E" w:rsidP="0049487D">
      <w:pPr>
        <w:jc w:val="both"/>
        <w:rPr>
          <w:rFonts w:asciiTheme="majorBidi" w:hAnsiTheme="majorBidi" w:cstheme="majorBidi"/>
          <w:lang w:bidi="fa-IR"/>
        </w:rPr>
      </w:pPr>
    </w:p>
    <w:p w14:paraId="60F05C3B" w14:textId="77777777" w:rsidR="00BF772E" w:rsidRDefault="00BF772E" w:rsidP="0049487D">
      <w:pPr>
        <w:jc w:val="both"/>
        <w:rPr>
          <w:rFonts w:asciiTheme="majorBidi" w:hAnsiTheme="majorBidi" w:cstheme="majorBidi"/>
          <w:lang w:bidi="fa-IR"/>
        </w:rPr>
      </w:pPr>
    </w:p>
    <w:p w14:paraId="5ED478BF" w14:textId="77777777" w:rsidR="00BF772E" w:rsidRDefault="00BF772E" w:rsidP="0049487D">
      <w:pPr>
        <w:jc w:val="both"/>
        <w:rPr>
          <w:rFonts w:asciiTheme="majorBidi" w:hAnsiTheme="majorBidi" w:cstheme="majorBidi"/>
          <w:lang w:bidi="fa-IR"/>
        </w:rPr>
      </w:pPr>
    </w:p>
    <w:p w14:paraId="7D8BFA96" w14:textId="77777777" w:rsidR="00BF772E" w:rsidRDefault="00BF772E" w:rsidP="0049487D">
      <w:pPr>
        <w:jc w:val="both"/>
        <w:rPr>
          <w:rFonts w:asciiTheme="majorBidi" w:hAnsiTheme="majorBidi" w:cstheme="majorBidi"/>
          <w:lang w:bidi="fa-IR"/>
        </w:rPr>
      </w:pPr>
    </w:p>
    <w:p w14:paraId="34FABC66" w14:textId="77777777" w:rsidR="00BF772E" w:rsidRDefault="00BF772E" w:rsidP="0049487D">
      <w:pPr>
        <w:jc w:val="both"/>
        <w:rPr>
          <w:rFonts w:asciiTheme="majorBidi" w:hAnsiTheme="majorBidi" w:cstheme="majorBidi"/>
          <w:lang w:bidi="fa-IR"/>
        </w:rPr>
      </w:pPr>
    </w:p>
    <w:p w14:paraId="1B45570E" w14:textId="77777777" w:rsidR="00BF772E" w:rsidRDefault="00BF772E" w:rsidP="0049487D">
      <w:pPr>
        <w:jc w:val="both"/>
        <w:rPr>
          <w:rFonts w:asciiTheme="majorBidi" w:hAnsiTheme="majorBidi" w:cstheme="majorBidi"/>
          <w:lang w:bidi="fa-IR"/>
        </w:rPr>
      </w:pPr>
    </w:p>
    <w:p w14:paraId="03F46761" w14:textId="4B3F926C" w:rsidR="00477DB3" w:rsidRPr="002B64FB" w:rsidRDefault="00BF772E" w:rsidP="00477DB3">
      <w:pPr>
        <w:ind w:left="-270"/>
        <w:rPr>
          <w:rFonts w:asciiTheme="majorBidi" w:hAnsiTheme="majorBidi" w:cstheme="majorBidi"/>
          <w:b/>
          <w:bCs/>
          <w:lang w:bidi="fa-IR"/>
        </w:rPr>
      </w:pPr>
      <w:r>
        <w:rPr>
          <w:rFonts w:asciiTheme="majorBidi" w:hAnsiTheme="majorBidi" w:cstheme="majorBidi"/>
          <w:b/>
          <w:bCs/>
          <w:lang w:bidi="fa-IR"/>
        </w:rPr>
        <w:t>6</w:t>
      </w:r>
      <w:r w:rsidR="00477DB3" w:rsidRPr="002B64FB">
        <w:rPr>
          <w:rFonts w:asciiTheme="majorBidi" w:hAnsiTheme="majorBidi" w:cstheme="majorBidi"/>
          <w:b/>
          <w:bCs/>
          <w:lang w:bidi="fa-IR"/>
        </w:rPr>
        <w:t xml:space="preserve"> NOX1 Levels Based on Treatment</w:t>
      </w:r>
    </w:p>
    <w:p w14:paraId="522EA46B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  <w:r w:rsidRPr="002B64FB">
        <w:rPr>
          <w:rFonts w:asciiTheme="majorBidi" w:hAnsiTheme="majorBidi" w:cstheme="majorBidi"/>
          <w:lang w:bidi="fa-IR"/>
        </w:rPr>
        <w:t>In the analysis of NOX1 levels concerning treatment for colon cancer, the results indicate no substantial differences among individuals undergoing various therapeutic approaches. The overall P value for these comparisons was 0.9223, suggesting no significant differences among the treatment groups (ns).</w:t>
      </w:r>
    </w:p>
    <w:p w14:paraId="62666ED7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0EB7235F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  <w:r w:rsidRPr="002B64FB">
        <w:rPr>
          <w:rFonts w:ascii="Times New Roman" w:eastAsia="Times New Roman" w:hAnsi="Times New Roman" w:cs="Times New Roman"/>
          <w:b/>
          <w:bCs/>
          <w:noProof/>
          <w:color w:val="000000"/>
        </w:rPr>
        <w:drawing>
          <wp:anchor distT="0" distB="0" distL="114300" distR="114300" simplePos="0" relativeHeight="251667456" behindDoc="0" locked="0" layoutInCell="1" allowOverlap="1" wp14:anchorId="77BBF8E2" wp14:editId="0147F02A">
            <wp:simplePos x="0" y="0"/>
            <wp:positionH relativeFrom="column">
              <wp:posOffset>-142875</wp:posOffset>
            </wp:positionH>
            <wp:positionV relativeFrom="paragraph">
              <wp:posOffset>247015</wp:posOffset>
            </wp:positionV>
            <wp:extent cx="5759450" cy="3239770"/>
            <wp:effectExtent l="19050" t="19050" r="12700" b="17780"/>
            <wp:wrapNone/>
            <wp:docPr id="61" name="صورة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tment  NOX1.emf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  <a:ln w="190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4B141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54A0D7DD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39861D8A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69281251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4153AFCD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428C2769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15D0BC1E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03CD7DA1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7D593BD6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63598357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7C109185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22AB9141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2AF040DB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5DF4EE05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185C1534" w14:textId="35AE3130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  <w:r w:rsidRPr="002B64FB">
        <w:rPr>
          <w:rFonts w:asciiTheme="majorBidi" w:hAnsiTheme="majorBidi" w:cstheme="majorBidi"/>
          <w:b/>
          <w:bCs/>
          <w:lang w:bidi="fa-IR"/>
        </w:rPr>
        <w:t xml:space="preserve">Figure </w:t>
      </w:r>
      <w:r w:rsidR="00BF772E">
        <w:rPr>
          <w:rFonts w:asciiTheme="majorBidi" w:hAnsiTheme="majorBidi" w:cstheme="majorBidi"/>
          <w:b/>
          <w:bCs/>
          <w:lang w:bidi="fa-IR"/>
        </w:rPr>
        <w:t>6</w:t>
      </w:r>
      <w:r w:rsidRPr="002B64FB">
        <w:rPr>
          <w:rFonts w:asciiTheme="majorBidi" w:hAnsiTheme="majorBidi" w:cstheme="majorBidi"/>
          <w:b/>
          <w:bCs/>
          <w:lang w:bidi="fa-IR"/>
        </w:rPr>
        <w:t>:</w:t>
      </w:r>
      <w:r w:rsidRPr="002B64FB">
        <w:rPr>
          <w:rFonts w:asciiTheme="majorBidi" w:hAnsiTheme="majorBidi" w:cstheme="majorBidi"/>
          <w:lang w:bidi="fa-IR"/>
        </w:rPr>
        <w:t xml:space="preserve"> Comparison of NOX1 concentrations based on different types of treatment for colon cancer. The mean NOX1 levels for each treatment group were as follows: Biological Therapy (n=10) had a mean level of 8.034 ± 1.158, Chemotherapy (n=13) displayed 8.852 ± 0.7963, Immunotherapy (n=6) showed 8.917 ± 1.18, and Surgical Treatment (n=11) had a mean level of 8.401 ± 0.973. The ranges of NOX1 levels were 4 - 14.92 for Biological Therapy, 5.29 - 13.41 for Chemotherapy, 4.45 - 13.21 for Immunotherapy, and 4.12 - 13.25 for Surgical Treatment.</w:t>
      </w:r>
    </w:p>
    <w:p w14:paraId="1FA62823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445E7BB0" w14:textId="77777777" w:rsidR="00477DB3" w:rsidRDefault="00477DB3" w:rsidP="00477DB3">
      <w:pPr>
        <w:ind w:left="-270"/>
        <w:jc w:val="both"/>
        <w:rPr>
          <w:rFonts w:asciiTheme="majorBidi" w:hAnsiTheme="majorBidi" w:cstheme="majorBidi"/>
          <w:lang w:bidi="fa-IR"/>
        </w:rPr>
      </w:pPr>
    </w:p>
    <w:p w14:paraId="08D8E5CC" w14:textId="77777777" w:rsidR="00477DB3" w:rsidRDefault="00477DB3" w:rsidP="0049487D">
      <w:pPr>
        <w:jc w:val="both"/>
        <w:rPr>
          <w:rFonts w:asciiTheme="majorBidi" w:hAnsiTheme="majorBidi" w:cstheme="majorBidi"/>
          <w:lang w:bidi="fa-IR"/>
        </w:rPr>
      </w:pPr>
    </w:p>
    <w:p w14:paraId="5F1450B9" w14:textId="77777777" w:rsidR="0049487D" w:rsidRDefault="0049487D" w:rsidP="0049487D">
      <w:pPr>
        <w:jc w:val="both"/>
        <w:rPr>
          <w:rFonts w:asciiTheme="majorBidi" w:hAnsiTheme="majorBidi" w:cstheme="majorBidi"/>
          <w:lang w:bidi="fa-IR"/>
        </w:rPr>
      </w:pPr>
    </w:p>
    <w:p w14:paraId="0682FA68" w14:textId="77777777" w:rsidR="0049487D" w:rsidRDefault="0049487D"/>
    <w:sectPr w:rsidR="00494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59"/>
    <w:rsid w:val="001B2459"/>
    <w:rsid w:val="00477DB3"/>
    <w:rsid w:val="0049487D"/>
    <w:rsid w:val="005653C3"/>
    <w:rsid w:val="0093775D"/>
    <w:rsid w:val="00A04348"/>
    <w:rsid w:val="00B03A44"/>
    <w:rsid w:val="00B65224"/>
    <w:rsid w:val="00B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A7322"/>
  <w15:chartTrackingRefBased/>
  <w15:docId w15:val="{06C6D42E-F676-48DD-89F6-C5CAF4CD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34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4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4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4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4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4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4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4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4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4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45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45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2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45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B2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sajad</dc:creator>
  <cp:keywords/>
  <dc:description/>
  <cp:lastModifiedBy>Alireza Mosavi jarrahi</cp:lastModifiedBy>
  <cp:revision>2</cp:revision>
  <dcterms:created xsi:type="dcterms:W3CDTF">2025-01-25T09:53:00Z</dcterms:created>
  <dcterms:modified xsi:type="dcterms:W3CDTF">2025-01-25T09:53:00Z</dcterms:modified>
</cp:coreProperties>
</file>