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A6" w:rsidRDefault="007C36A6"/>
    <w:p w:rsidR="006A4A40" w:rsidRPr="00751BD6" w:rsidRDefault="006A4A40" w:rsidP="006A4A40">
      <w:pPr>
        <w:tabs>
          <w:tab w:val="left" w:pos="4821"/>
        </w:tabs>
        <w:spacing w:before="200" w:after="200" w:line="48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51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751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): </w:t>
      </w:r>
      <w:proofErr w:type="spellStart"/>
      <w:r w:rsidRPr="00751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Fluorochrome</w:t>
      </w:r>
      <w:proofErr w:type="spellEnd"/>
      <w:r w:rsidRPr="00751B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-labeled monoclonal antibodies used:</w:t>
      </w:r>
    </w:p>
    <w:tbl>
      <w:tblPr>
        <w:tblStyle w:val="TableGrid1"/>
        <w:tblW w:w="87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9"/>
        <w:gridCol w:w="890"/>
        <w:gridCol w:w="852"/>
        <w:gridCol w:w="1097"/>
        <w:gridCol w:w="953"/>
        <w:gridCol w:w="850"/>
        <w:gridCol w:w="1059"/>
      </w:tblGrid>
      <w:tr w:rsidR="006A4A40" w:rsidRPr="00751BD6" w:rsidTr="00BE6FC6">
        <w:trPr>
          <w:cantSplit/>
          <w:trHeight w:val="20"/>
          <w:jc w:val="center"/>
        </w:trPr>
        <w:tc>
          <w:tcPr>
            <w:tcW w:w="3049" w:type="dxa"/>
            <w:tcBorders>
              <w:top w:val="single" w:sz="4" w:space="0" w:color="auto"/>
            </w:tcBorders>
          </w:tcPr>
          <w:p w:rsidR="006A4A40" w:rsidRPr="00751BD6" w:rsidRDefault="006A4A40" w:rsidP="00BE6FC6">
            <w:pPr>
              <w:spacing w:before="80" w:after="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Tube 1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CD45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CD10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CD34</w:t>
            </w:r>
          </w:p>
        </w:tc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CD13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CD2</w:t>
            </w:r>
          </w:p>
        </w:tc>
      </w:tr>
      <w:tr w:rsidR="006A4A40" w:rsidRPr="00751BD6" w:rsidTr="00BE6FC6">
        <w:trPr>
          <w:cantSplit/>
          <w:trHeight w:val="20"/>
          <w:jc w:val="center"/>
        </w:trPr>
        <w:tc>
          <w:tcPr>
            <w:tcW w:w="3049" w:type="dxa"/>
          </w:tcPr>
          <w:p w:rsidR="006A4A40" w:rsidRPr="00751BD6" w:rsidRDefault="006A4A40" w:rsidP="00BE6FC6">
            <w:pPr>
              <w:spacing w:before="80" w:after="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Tube 2 </w:t>
            </w:r>
          </w:p>
        </w:tc>
        <w:tc>
          <w:tcPr>
            <w:tcW w:w="890" w:type="dxa"/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CD45</w:t>
            </w:r>
          </w:p>
        </w:tc>
        <w:tc>
          <w:tcPr>
            <w:tcW w:w="852" w:type="dxa"/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CD33</w:t>
            </w:r>
          </w:p>
        </w:tc>
        <w:tc>
          <w:tcPr>
            <w:tcW w:w="1097" w:type="dxa"/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HLA-DR</w:t>
            </w:r>
          </w:p>
        </w:tc>
        <w:tc>
          <w:tcPr>
            <w:tcW w:w="953" w:type="dxa"/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CD7</w:t>
            </w:r>
          </w:p>
        </w:tc>
        <w:tc>
          <w:tcPr>
            <w:tcW w:w="850" w:type="dxa"/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59" w:type="dxa"/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A4A40" w:rsidRPr="00751BD6" w:rsidTr="00BE6FC6">
        <w:trPr>
          <w:cantSplit/>
          <w:trHeight w:val="20"/>
          <w:jc w:val="center"/>
        </w:trPr>
        <w:tc>
          <w:tcPr>
            <w:tcW w:w="3049" w:type="dxa"/>
          </w:tcPr>
          <w:p w:rsidR="006A4A40" w:rsidRPr="00751BD6" w:rsidRDefault="006A4A40" w:rsidP="00BE6FC6">
            <w:pPr>
              <w:spacing w:before="80" w:after="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751BD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Monocytic</w:t>
            </w:r>
            <w:proofErr w:type="spellEnd"/>
            <w:r w:rsidRPr="00751BD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markers</w:t>
            </w:r>
          </w:p>
        </w:tc>
        <w:tc>
          <w:tcPr>
            <w:tcW w:w="890" w:type="dxa"/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CD11c</w:t>
            </w:r>
          </w:p>
        </w:tc>
        <w:tc>
          <w:tcPr>
            <w:tcW w:w="852" w:type="dxa"/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CD11b</w:t>
            </w:r>
          </w:p>
        </w:tc>
        <w:tc>
          <w:tcPr>
            <w:tcW w:w="1097" w:type="dxa"/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CD64</w:t>
            </w:r>
          </w:p>
        </w:tc>
        <w:tc>
          <w:tcPr>
            <w:tcW w:w="953" w:type="dxa"/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CD14</w:t>
            </w:r>
          </w:p>
        </w:tc>
        <w:tc>
          <w:tcPr>
            <w:tcW w:w="850" w:type="dxa"/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CD4</w:t>
            </w:r>
          </w:p>
        </w:tc>
        <w:tc>
          <w:tcPr>
            <w:tcW w:w="1059" w:type="dxa"/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A4A40" w:rsidRPr="00751BD6" w:rsidTr="00BE6FC6">
        <w:trPr>
          <w:cantSplit/>
          <w:trHeight w:val="20"/>
          <w:jc w:val="center"/>
        </w:trPr>
        <w:tc>
          <w:tcPr>
            <w:tcW w:w="3049" w:type="dxa"/>
            <w:tcBorders>
              <w:bottom w:val="single" w:sz="4" w:space="0" w:color="auto"/>
            </w:tcBorders>
          </w:tcPr>
          <w:p w:rsidR="006A4A40" w:rsidRPr="00751BD6" w:rsidRDefault="006A4A40" w:rsidP="00BE6FC6">
            <w:pPr>
              <w:spacing w:before="80" w:after="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Additional Myeloid markers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MPO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51BD6">
              <w:rPr>
                <w:rFonts w:ascii="Times New Roman" w:eastAsia="Calibri" w:hAnsi="Times New Roman" w:cs="Times New Roman"/>
                <w:color w:val="000000"/>
              </w:rPr>
              <w:t>CD117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6A4A40" w:rsidRPr="00751BD6" w:rsidRDefault="006A4A40" w:rsidP="00BE6FC6">
            <w:pPr>
              <w:spacing w:before="80" w:after="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6A4A40" w:rsidRDefault="006A4A40" w:rsidP="006A4A40"/>
    <w:p w:rsidR="006A4A40" w:rsidRPr="006A4A40" w:rsidRDefault="006A4A40" w:rsidP="006A4A40">
      <w:r w:rsidRPr="00BB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): </w:t>
      </w:r>
      <w:r w:rsidRPr="00BB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Relation between MYH11 and some laboratory tests (n = 24)</w:t>
      </w:r>
    </w:p>
    <w:tbl>
      <w:tblPr>
        <w:tblStyle w:val="TableGrid"/>
        <w:tblW w:w="975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1191"/>
        <w:gridCol w:w="1191"/>
        <w:gridCol w:w="1191"/>
        <w:gridCol w:w="1191"/>
        <w:gridCol w:w="1134"/>
        <w:gridCol w:w="1021"/>
      </w:tblGrid>
      <w:tr w:rsidR="006A4A40" w:rsidRPr="00BB1006" w:rsidTr="00BE6FC6">
        <w:trPr>
          <w:cantSplit/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Laboratory tests</w:t>
            </w:r>
          </w:p>
        </w:tc>
        <w:tc>
          <w:tcPr>
            <w:tcW w:w="4764" w:type="dxa"/>
            <w:gridSpan w:val="4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MYH11 (CBFB::MYH11)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Test of sig.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P</w:t>
            </w: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vMerge/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Negative</w:t>
            </w: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br/>
              <w:t>(n = 22)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Positive </w:t>
            </w: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br/>
              <w:t>(n = 2)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No.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No.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CBC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8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Platelets </w:t>
            </w: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(×</w:t>
            </w:r>
            <w:r w:rsidRPr="00BB1006">
              <w:rPr>
                <w:rFonts w:asciiTheme="majorBidi" w:eastAsia="Calibri" w:hAnsiTheme="majorBidi" w:cstheme="majorBidi"/>
                <w:color w:val="000000" w:themeColor="text1"/>
              </w:rPr>
              <w:t>10</w:t>
            </w:r>
            <w:r w:rsidRPr="00BB1006">
              <w:rPr>
                <w:rFonts w:asciiTheme="majorBidi" w:eastAsia="Calibri" w:hAnsiTheme="majorBidi" w:cstheme="majorBidi"/>
                <w:color w:val="000000" w:themeColor="text1"/>
                <w:vertAlign w:val="superscript"/>
              </w:rPr>
              <w:t>9</w:t>
            </w:r>
            <w:r w:rsidRPr="00BB1006">
              <w:rPr>
                <w:rFonts w:asciiTheme="majorBidi" w:eastAsia="Calibri" w:hAnsiTheme="majorBidi" w:cstheme="majorBidi"/>
                <w:color w:val="000000" w:themeColor="text1"/>
              </w:rPr>
              <w:t xml:space="preserve"> /l</w:t>
            </w: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)</w:t>
            </w:r>
          </w:p>
        </w:tc>
        <w:tc>
          <w:tcPr>
            <w:tcW w:w="238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8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U =16.0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0.530</w:t>
            </w: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 xml:space="preserve"> Median (Min. – Max.)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32.50 (10.0 – 200.0)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25.50 (17.0 – 34.0)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WBCs </w:t>
            </w: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(×</w:t>
            </w:r>
            <w:r w:rsidRPr="00BB1006">
              <w:rPr>
                <w:rFonts w:asciiTheme="majorBidi" w:eastAsia="Calibri" w:hAnsiTheme="majorBidi" w:cstheme="majorBidi"/>
                <w:color w:val="000000" w:themeColor="text1"/>
              </w:rPr>
              <w:t>10</w:t>
            </w:r>
            <w:r w:rsidRPr="00BB1006">
              <w:rPr>
                <w:rFonts w:asciiTheme="majorBidi" w:eastAsia="Calibri" w:hAnsiTheme="majorBidi" w:cstheme="majorBidi"/>
                <w:color w:val="000000" w:themeColor="text1"/>
                <w:vertAlign w:val="superscript"/>
              </w:rPr>
              <w:t>9</w:t>
            </w:r>
            <w:r w:rsidRPr="00BB1006">
              <w:rPr>
                <w:rFonts w:asciiTheme="majorBidi" w:eastAsia="Calibri" w:hAnsiTheme="majorBidi" w:cstheme="majorBidi"/>
                <w:color w:val="000000" w:themeColor="text1"/>
              </w:rPr>
              <w:t xml:space="preserve"> /l</w:t>
            </w: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)</w:t>
            </w: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U= 8.0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0.144</w:t>
            </w: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shd w:val="clear" w:color="auto" w:fill="auto"/>
          </w:tcPr>
          <w:p w:rsidR="006A4A40" w:rsidRPr="00BB1006" w:rsidRDefault="006A4A40" w:rsidP="00BE6FC6">
            <w:pPr>
              <w:spacing w:before="80" w:after="40"/>
              <w:ind w:left="113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Median (Min. – Max.)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49.33 (0.77 – 153.0)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18.96 (16.92 – 21.0)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Hemoglobin (g/dl) 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t=0.603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  <w:lang w:bidi="ar-EG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0.634</w:t>
            </w: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shd w:val="clear" w:color="auto" w:fill="auto"/>
          </w:tcPr>
          <w:p w:rsidR="006A4A40" w:rsidRPr="00BB1006" w:rsidRDefault="006A4A40" w:rsidP="00BE6FC6">
            <w:pPr>
              <w:spacing w:before="80" w:after="40"/>
              <w:ind w:left="113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Mean ± SD.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8.07 ± 1.88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8.75 ± 1.48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6A4A40" w:rsidRPr="007773AA" w:rsidRDefault="006A4A40" w:rsidP="006A4A40">
      <w:pPr>
        <w:spacing w:before="120"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  <w:proofErr w:type="gramStart"/>
      <w:r w:rsidRPr="00BB1006">
        <w:rPr>
          <w:rFonts w:asciiTheme="majorBidi" w:hAnsiTheme="majorBidi" w:cstheme="majorBidi"/>
          <w:color w:val="000000" w:themeColor="text1"/>
          <w:sz w:val="20"/>
          <w:szCs w:val="20"/>
        </w:rPr>
        <w:t>t</w:t>
      </w:r>
      <w:proofErr w:type="gramEnd"/>
      <w:r w:rsidRPr="00BB1006">
        <w:rPr>
          <w:rFonts w:asciiTheme="majorBidi" w:hAnsiTheme="majorBidi" w:cstheme="majorBidi"/>
          <w:color w:val="000000" w:themeColor="text1"/>
          <w:sz w:val="20"/>
          <w:szCs w:val="20"/>
        </w:rPr>
        <w:t>: Student t-test ,  U: Mann Whitney test</w:t>
      </w:r>
    </w:p>
    <w:p w:rsidR="006A4A40" w:rsidRDefault="006A4A40"/>
    <w:p w:rsidR="006A4A40" w:rsidRDefault="006A4A40" w:rsidP="006A4A40">
      <w:pPr>
        <w:tabs>
          <w:tab w:val="left" w:pos="4821"/>
        </w:tabs>
        <w:spacing w:before="200" w:after="20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4A40" w:rsidRDefault="006A4A40" w:rsidP="006A4A40">
      <w:pPr>
        <w:tabs>
          <w:tab w:val="left" w:pos="4821"/>
        </w:tabs>
        <w:spacing w:before="200" w:after="20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4A40" w:rsidRDefault="006A4A40" w:rsidP="006A4A40">
      <w:pPr>
        <w:tabs>
          <w:tab w:val="left" w:pos="4821"/>
        </w:tabs>
        <w:spacing w:before="200" w:after="20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4A40" w:rsidRDefault="006A4A40" w:rsidP="006A4A40">
      <w:pPr>
        <w:tabs>
          <w:tab w:val="left" w:pos="4821"/>
        </w:tabs>
        <w:spacing w:before="200" w:after="20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4A40" w:rsidRDefault="006A4A40" w:rsidP="006A4A40">
      <w:pPr>
        <w:tabs>
          <w:tab w:val="left" w:pos="4821"/>
        </w:tabs>
        <w:spacing w:before="200" w:after="20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4A40" w:rsidRDefault="006A4A40" w:rsidP="006A4A40">
      <w:pPr>
        <w:tabs>
          <w:tab w:val="left" w:pos="4821"/>
        </w:tabs>
        <w:spacing w:before="200" w:after="20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4A40" w:rsidRDefault="006A4A40" w:rsidP="006A4A40">
      <w:pPr>
        <w:tabs>
          <w:tab w:val="left" w:pos="4821"/>
        </w:tabs>
        <w:spacing w:before="200" w:after="20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4A40" w:rsidRPr="007773AA" w:rsidRDefault="006A4A40" w:rsidP="006A4A40">
      <w:pPr>
        <w:tabs>
          <w:tab w:val="left" w:pos="4821"/>
        </w:tabs>
        <w:spacing w:before="200" w:after="200" w:line="48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BB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): </w:t>
      </w:r>
      <w:r w:rsidRPr="00BB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Relation between CBFB::MYH11 fusion and patients outcome (n = 24) </w:t>
      </w:r>
    </w:p>
    <w:tbl>
      <w:tblPr>
        <w:tblStyle w:val="TableGrid"/>
        <w:tblW w:w="75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1191"/>
        <w:gridCol w:w="1191"/>
        <w:gridCol w:w="1191"/>
        <w:gridCol w:w="1191"/>
      </w:tblGrid>
      <w:tr w:rsidR="006A4A40" w:rsidRPr="00BB1006" w:rsidTr="00BE6FC6">
        <w:trPr>
          <w:cantSplit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MYH11 (CBFB::MYH11)</w:t>
            </w: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vMerge/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Negative</w:t>
            </w: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br/>
              <w:t>(n = 22)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Positive </w:t>
            </w: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br/>
              <w:t>(n = 2)</w:t>
            </w: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%</w:t>
            </w: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Refractory to treatment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62.5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0.0</w:t>
            </w: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Partial remission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12.5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0.0</w:t>
            </w: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 xml:space="preserve">Complete remission 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16.7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8.3</w:t>
            </w: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 xml:space="preserve">No relapse 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19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79.2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0.0</w:t>
            </w: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Relapse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12.5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8.3</w:t>
            </w: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Died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21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87.5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4.2</w:t>
            </w:r>
          </w:p>
        </w:tc>
      </w:tr>
      <w:tr w:rsidR="006A4A40" w:rsidRPr="00BB1006" w:rsidTr="00BE6FC6">
        <w:trPr>
          <w:cantSplit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Alive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4.2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4.2</w:t>
            </w:r>
          </w:p>
        </w:tc>
      </w:tr>
    </w:tbl>
    <w:p w:rsidR="006A4A40" w:rsidRDefault="006A4A40" w:rsidP="006A4A40">
      <w:r>
        <w:br w:type="page"/>
      </w:r>
    </w:p>
    <w:p w:rsidR="006A4A40" w:rsidRPr="007773AA" w:rsidRDefault="006A4A40" w:rsidP="006A4A40">
      <w:pPr>
        <w:tabs>
          <w:tab w:val="left" w:pos="4821"/>
        </w:tabs>
        <w:spacing w:before="200" w:after="200" w:line="480" w:lineRule="auto"/>
        <w:jc w:val="both"/>
        <w:rPr>
          <w:rFonts w:asciiTheme="majorBidi" w:eastAsia="Calibri" w:hAnsiTheme="majorBidi" w:cstheme="majorBidi"/>
          <w:color w:val="000000" w:themeColor="text1"/>
          <w:spacing w:val="-4"/>
          <w:sz w:val="20"/>
          <w:szCs w:val="20"/>
        </w:rPr>
      </w:pPr>
      <w:r w:rsidRPr="00BB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): </w:t>
      </w:r>
      <w:r w:rsidRPr="00BB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Distribution of the AML patients according to OS (n = 24)</w:t>
      </w:r>
    </w:p>
    <w:tbl>
      <w:tblPr>
        <w:tblStyle w:val="TableGrid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1418"/>
      </w:tblGrid>
      <w:tr w:rsidR="006A4A40" w:rsidRPr="00BB1006" w:rsidTr="00BE6FC6">
        <w:trPr>
          <w:cantSplit/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B100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  <w:t>Overall survival (OS)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B100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B100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  <w:t>%</w:t>
            </w:r>
          </w:p>
        </w:tc>
      </w:tr>
      <w:tr w:rsidR="006A4A40" w:rsidRPr="00BB1006" w:rsidTr="00BE6FC6">
        <w:trPr>
          <w:cantSplit/>
          <w:trHeight w:val="20"/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BB1006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&lt;24 months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BB1006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BB1006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91.7</w:t>
            </w:r>
          </w:p>
        </w:tc>
      </w:tr>
      <w:tr w:rsidR="006A4A40" w:rsidRPr="00BB1006" w:rsidTr="00BE6FC6">
        <w:trPr>
          <w:cantSplit/>
          <w:trHeight w:val="20"/>
          <w:jc w:val="center"/>
        </w:trPr>
        <w:tc>
          <w:tcPr>
            <w:tcW w:w="2835" w:type="dxa"/>
            <w:vAlign w:val="center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BB1006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≥24 months</w:t>
            </w:r>
          </w:p>
        </w:tc>
        <w:tc>
          <w:tcPr>
            <w:tcW w:w="1418" w:type="dxa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BB1006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BB1006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8.3</w:t>
            </w:r>
          </w:p>
        </w:tc>
      </w:tr>
      <w:tr w:rsidR="006A4A40" w:rsidRPr="00BB1006" w:rsidTr="00BE6FC6">
        <w:trPr>
          <w:cantSplit/>
          <w:trHeight w:val="20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B1006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</w:rPr>
              <w:t xml:space="preserve">Total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BB1006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</w:pPr>
            <w:r w:rsidRPr="00BB1006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</w:rPr>
              <w:t>100</w:t>
            </w:r>
          </w:p>
        </w:tc>
      </w:tr>
    </w:tbl>
    <w:p w:rsidR="006A4A40" w:rsidRPr="006A4A40" w:rsidRDefault="006A4A40" w:rsidP="006A4A40">
      <w:r w:rsidRPr="00BB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): </w:t>
      </w:r>
      <w:r w:rsidRPr="00BB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Kaplan-Meier survival curve for OS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1219"/>
        <w:gridCol w:w="1219"/>
        <w:gridCol w:w="1219"/>
        <w:gridCol w:w="2043"/>
      </w:tblGrid>
      <w:tr w:rsidR="006A4A40" w:rsidRPr="00BB1006" w:rsidTr="00BE6FC6">
        <w:trPr>
          <w:cantSplit/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Mean (months)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Median (months)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% 1 year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% End Study</w:t>
            </w:r>
          </w:p>
        </w:tc>
      </w:tr>
      <w:tr w:rsidR="006A4A40" w:rsidRPr="00BB1006" w:rsidTr="00BE6FC6">
        <w:trPr>
          <w:cantSplit/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4A40" w:rsidRPr="00BB1006" w:rsidRDefault="006A4A40" w:rsidP="00BE6FC6">
            <w:pPr>
              <w:spacing w:before="80" w:after="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b/>
                <w:bCs/>
                <w:color w:val="000000" w:themeColor="text1"/>
              </w:rPr>
              <w:t>Overall Survival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6.771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5.0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12.5%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A40" w:rsidRPr="00BB1006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B1006">
              <w:rPr>
                <w:rFonts w:asciiTheme="majorBidi" w:hAnsiTheme="majorBidi" w:cstheme="majorBidi"/>
                <w:color w:val="000000" w:themeColor="text1"/>
              </w:rPr>
              <w:t>8.3%</w:t>
            </w:r>
          </w:p>
        </w:tc>
      </w:tr>
    </w:tbl>
    <w:p w:rsidR="006A4A40" w:rsidRDefault="006A4A40" w:rsidP="006A4A40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6A4A40" w:rsidRPr="000D471D" w:rsidRDefault="006A4A40" w:rsidP="006A4A40">
      <w:pPr>
        <w:spacing w:after="20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 (5</w:t>
      </w:r>
      <w:r w:rsidRPr="000D471D">
        <w:rPr>
          <w:rFonts w:asciiTheme="majorBidi" w:hAnsiTheme="majorBidi" w:cstheme="majorBidi"/>
          <w:b/>
          <w:bCs/>
          <w:sz w:val="24"/>
          <w:szCs w:val="24"/>
        </w:rPr>
        <w:t>):</w:t>
      </w:r>
      <w:r w:rsidRPr="000D471D">
        <w:rPr>
          <w:rFonts w:asciiTheme="majorBidi" w:hAnsiTheme="majorBidi" w:cstheme="majorBidi"/>
          <w:b/>
          <w:bCs/>
          <w:sz w:val="24"/>
          <w:szCs w:val="24"/>
        </w:rPr>
        <w:tab/>
        <w:t>Frequency of genetic variants accor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ding to clinical significance in both groups </w:t>
      </w:r>
    </w:p>
    <w:tbl>
      <w:tblPr>
        <w:tblStyle w:val="TableGrid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A4A40" w:rsidRPr="000D471D" w:rsidTr="00BE6FC6">
        <w:trPr>
          <w:jc w:val="center"/>
        </w:trPr>
        <w:tc>
          <w:tcPr>
            <w:tcW w:w="141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Clinical significance</w:t>
            </w:r>
          </w:p>
        </w:tc>
        <w:tc>
          <w:tcPr>
            <w:tcW w:w="1360" w:type="dxa"/>
            <w:gridSpan w:val="2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6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Benign</w:t>
            </w:r>
          </w:p>
        </w:tc>
        <w:tc>
          <w:tcPr>
            <w:tcW w:w="136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Likely benign</w:t>
            </w:r>
          </w:p>
        </w:tc>
        <w:tc>
          <w:tcPr>
            <w:tcW w:w="136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 reported</w:t>
            </w:r>
          </w:p>
        </w:tc>
        <w:tc>
          <w:tcPr>
            <w:tcW w:w="136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Pathogenic</w:t>
            </w:r>
          </w:p>
        </w:tc>
        <w:tc>
          <w:tcPr>
            <w:tcW w:w="136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Likely pathogenic</w:t>
            </w:r>
          </w:p>
        </w:tc>
        <w:tc>
          <w:tcPr>
            <w:tcW w:w="136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Uncertain</w:t>
            </w:r>
          </w:p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Significance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vMerge/>
            <w:tcBorders>
              <w:left w:val="thinThickSmallGap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A40" w:rsidRPr="000D471D" w:rsidRDefault="006A4A40" w:rsidP="00BE6F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Variants of 2 +</w:t>
            </w:r>
            <w:proofErr w:type="spellStart"/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</w:t>
            </w:r>
            <w:proofErr w:type="spellEnd"/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cases 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28)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24) (85.7%)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0)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(0%)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1) (3.6%)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3) (10.7%)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0)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(0%)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0)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(0%)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FLT3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53.6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58.4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FLT3ITD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HRAS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10.7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12.5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KIT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14.3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16.6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KRAS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17.8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12.5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66.7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NRAS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3.6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33.3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Variants of  22 –</w:t>
            </w:r>
            <w:proofErr w:type="spellStart"/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</w:t>
            </w:r>
            <w:proofErr w:type="spellEnd"/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cases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311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241) (77.5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1)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(0.3%)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34)</w:t>
            </w:r>
          </w:p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(10.9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33) (10.6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(n=2)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(0.6%)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0)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(0%)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FLT3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48.2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8.7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23.5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FLT3ITD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8.4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78.7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HRAS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4.2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1.9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KIT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17.2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2.5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KRAS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20.7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1.9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70.5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50.0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NRAS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1.3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50.0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</w:tbl>
    <w:p w:rsidR="006A4A40" w:rsidRDefault="006A4A40" w:rsidP="006A4A40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6A4A40" w:rsidRDefault="006A4A40" w:rsidP="006A4A40">
      <w:pPr>
        <w:spacing w:after="20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4A40" w:rsidRDefault="006A4A40" w:rsidP="006A4A40">
      <w:pPr>
        <w:spacing w:after="20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4A40" w:rsidRDefault="006A4A40" w:rsidP="006A4A40">
      <w:pPr>
        <w:spacing w:after="20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4A40" w:rsidRDefault="006A4A40" w:rsidP="006A4A40">
      <w:pPr>
        <w:spacing w:after="20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4A40" w:rsidRPr="000D471D" w:rsidRDefault="006A4A40" w:rsidP="006A4A40">
      <w:pPr>
        <w:spacing w:after="20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 (6</w:t>
      </w:r>
      <w:r w:rsidRPr="000D471D">
        <w:rPr>
          <w:rFonts w:asciiTheme="majorBidi" w:hAnsiTheme="majorBidi" w:cstheme="majorBidi"/>
          <w:b/>
          <w:bCs/>
          <w:sz w:val="24"/>
          <w:szCs w:val="24"/>
        </w:rPr>
        <w:t>):</w:t>
      </w:r>
      <w:r w:rsidRPr="000D471D">
        <w:rPr>
          <w:rFonts w:asciiTheme="majorBidi" w:hAnsiTheme="majorBidi" w:cstheme="majorBidi"/>
          <w:b/>
          <w:bCs/>
          <w:sz w:val="24"/>
          <w:szCs w:val="24"/>
        </w:rPr>
        <w:tab/>
        <w:t>Frequency of genetic variant</w:t>
      </w:r>
      <w:r>
        <w:rPr>
          <w:rFonts w:asciiTheme="majorBidi" w:hAnsiTheme="majorBidi" w:cstheme="majorBidi"/>
          <w:b/>
          <w:bCs/>
          <w:sz w:val="24"/>
          <w:szCs w:val="24"/>
        </w:rPr>
        <w:t>s according to function effect on protein in both groups</w:t>
      </w:r>
    </w:p>
    <w:tbl>
      <w:tblPr>
        <w:tblStyle w:val="TableGrid"/>
        <w:tblW w:w="846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697"/>
        <w:gridCol w:w="698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 w:rsidR="006A4A40" w:rsidRPr="006530E8" w:rsidTr="00BE6FC6">
        <w:trPr>
          <w:trHeight w:val="664"/>
          <w:jc w:val="center"/>
        </w:trPr>
        <w:tc>
          <w:tcPr>
            <w:tcW w:w="148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Function effect</w:t>
            </w:r>
          </w:p>
        </w:tc>
        <w:tc>
          <w:tcPr>
            <w:tcW w:w="1395" w:type="dxa"/>
            <w:gridSpan w:val="2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395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 xml:space="preserve">Non sense </w:t>
            </w:r>
          </w:p>
        </w:tc>
        <w:tc>
          <w:tcPr>
            <w:tcW w:w="1395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Missense</w:t>
            </w:r>
          </w:p>
        </w:tc>
        <w:tc>
          <w:tcPr>
            <w:tcW w:w="1395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Synonymous</w:t>
            </w:r>
          </w:p>
        </w:tc>
        <w:tc>
          <w:tcPr>
            <w:tcW w:w="1395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Un known</w:t>
            </w:r>
          </w:p>
        </w:tc>
      </w:tr>
      <w:tr w:rsidR="006A4A40" w:rsidRPr="006530E8" w:rsidTr="00BE6FC6">
        <w:trPr>
          <w:trHeight w:val="253"/>
          <w:jc w:val="center"/>
        </w:trPr>
        <w:tc>
          <w:tcPr>
            <w:tcW w:w="1485" w:type="dxa"/>
            <w:vMerge/>
            <w:tcBorders>
              <w:left w:val="thinThickSmallGap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</w:tr>
      <w:tr w:rsidR="006A4A40" w:rsidRPr="006530E8" w:rsidTr="00BE6FC6">
        <w:trPr>
          <w:trHeight w:val="706"/>
          <w:jc w:val="center"/>
        </w:trPr>
        <w:tc>
          <w:tcPr>
            <w:tcW w:w="1485" w:type="dxa"/>
            <w:tcBorders>
              <w:top w:val="single" w:sz="12" w:space="0" w:color="auto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A40" w:rsidRPr="006530E8" w:rsidRDefault="006A4A40" w:rsidP="00BE6FC6">
            <w:pPr>
              <w:spacing w:before="80" w:after="40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Variants of 2 +</w:t>
            </w:r>
            <w:proofErr w:type="spellStart"/>
            <w:r w:rsidRPr="006530E8">
              <w:rPr>
                <w:rFonts w:asciiTheme="majorBidi" w:hAnsiTheme="majorBidi" w:cstheme="majorBidi"/>
                <w:b/>
                <w:bCs/>
              </w:rPr>
              <w:t>ve</w:t>
            </w:r>
            <w:proofErr w:type="spellEnd"/>
            <w:r w:rsidRPr="006530E8">
              <w:rPr>
                <w:rFonts w:asciiTheme="majorBidi" w:hAnsiTheme="majorBidi" w:cstheme="majorBidi"/>
                <w:b/>
                <w:bCs/>
              </w:rPr>
              <w:t xml:space="preserve"> cases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(n = 28)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(n = 0)</w:t>
            </w:r>
            <w:r w:rsidRPr="006530E8">
              <w:rPr>
                <w:rFonts w:asciiTheme="majorBidi" w:hAnsiTheme="majorBidi" w:cstheme="majorBidi"/>
                <w:b/>
                <w:bCs/>
              </w:rPr>
              <w:br/>
              <w:t>(0%)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(n = 5) (17.9%)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(n = 5) (17.9%)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(n=18) (64.3%)</w:t>
            </w:r>
          </w:p>
        </w:tc>
      </w:tr>
      <w:tr w:rsidR="006A4A40" w:rsidRPr="006530E8" w:rsidTr="00BE6FC6">
        <w:trPr>
          <w:trHeight w:val="664"/>
          <w:jc w:val="center"/>
        </w:trPr>
        <w:tc>
          <w:tcPr>
            <w:tcW w:w="1485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6530E8" w:rsidRDefault="006A4A40" w:rsidP="00BE6FC6">
            <w:pPr>
              <w:spacing w:before="80" w:after="40"/>
              <w:ind w:left="284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FLT3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53.6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72.2</w:t>
            </w:r>
          </w:p>
        </w:tc>
      </w:tr>
      <w:tr w:rsidR="006A4A40" w:rsidRPr="006530E8" w:rsidTr="00BE6FC6">
        <w:trPr>
          <w:trHeight w:val="664"/>
          <w:jc w:val="center"/>
        </w:trPr>
        <w:tc>
          <w:tcPr>
            <w:tcW w:w="1485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6530E8" w:rsidRDefault="006A4A40" w:rsidP="00BE6FC6">
            <w:pPr>
              <w:spacing w:before="80" w:after="40"/>
              <w:ind w:left="284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HRAS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10.7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6.3</w:t>
            </w:r>
          </w:p>
        </w:tc>
      </w:tr>
      <w:tr w:rsidR="006A4A40" w:rsidRPr="006530E8" w:rsidTr="00BE6FC6">
        <w:trPr>
          <w:trHeight w:val="664"/>
          <w:jc w:val="center"/>
        </w:trPr>
        <w:tc>
          <w:tcPr>
            <w:tcW w:w="1485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6530E8" w:rsidRDefault="006A4A40" w:rsidP="00BE6FC6">
            <w:pPr>
              <w:spacing w:before="80" w:after="40"/>
              <w:ind w:left="284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KIT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14.3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18.8</w:t>
            </w:r>
          </w:p>
        </w:tc>
      </w:tr>
      <w:tr w:rsidR="006A4A40" w:rsidRPr="006530E8" w:rsidTr="00BE6FC6">
        <w:trPr>
          <w:trHeight w:val="664"/>
          <w:jc w:val="center"/>
        </w:trPr>
        <w:tc>
          <w:tcPr>
            <w:tcW w:w="1485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6530E8" w:rsidRDefault="006A4A40" w:rsidP="00BE6FC6">
            <w:pPr>
              <w:spacing w:before="80" w:after="40"/>
              <w:ind w:left="284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KRAS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17.8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6.3</w:t>
            </w:r>
          </w:p>
        </w:tc>
      </w:tr>
      <w:tr w:rsidR="006A4A40" w:rsidRPr="006530E8" w:rsidTr="00BE6FC6">
        <w:trPr>
          <w:trHeight w:val="391"/>
          <w:jc w:val="center"/>
        </w:trPr>
        <w:tc>
          <w:tcPr>
            <w:tcW w:w="1485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A40" w:rsidRPr="006530E8" w:rsidRDefault="006A4A40" w:rsidP="00BE6FC6">
            <w:pPr>
              <w:spacing w:before="80" w:after="40"/>
              <w:ind w:left="284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NRAS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3.6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</w:tr>
      <w:tr w:rsidR="006A4A40" w:rsidRPr="006530E8" w:rsidTr="00BE6FC6">
        <w:trPr>
          <w:trHeight w:val="925"/>
          <w:jc w:val="center"/>
        </w:trPr>
        <w:tc>
          <w:tcPr>
            <w:tcW w:w="1485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6530E8" w:rsidRDefault="006A4A40" w:rsidP="00BE6FC6">
            <w:pPr>
              <w:spacing w:before="80" w:after="40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Variants of  22 –</w:t>
            </w:r>
            <w:proofErr w:type="spellStart"/>
            <w:r w:rsidRPr="006530E8">
              <w:rPr>
                <w:rFonts w:asciiTheme="majorBidi" w:hAnsiTheme="majorBidi" w:cstheme="majorBidi"/>
                <w:b/>
                <w:bCs/>
              </w:rPr>
              <w:t>ve</w:t>
            </w:r>
            <w:proofErr w:type="spellEnd"/>
            <w:r w:rsidRPr="006530E8">
              <w:rPr>
                <w:rFonts w:asciiTheme="majorBidi" w:hAnsiTheme="majorBidi" w:cstheme="majorBidi"/>
                <w:b/>
                <w:bCs/>
              </w:rPr>
              <w:t xml:space="preserve"> cases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(n = 311)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(n = 1)</w:t>
            </w:r>
            <w:r w:rsidRPr="006530E8">
              <w:rPr>
                <w:rFonts w:asciiTheme="majorBidi" w:hAnsiTheme="majorBidi" w:cstheme="majorBidi"/>
                <w:b/>
                <w:bCs/>
              </w:rPr>
              <w:br/>
              <w:t>(0.32%)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(n = 46)</w:t>
            </w:r>
            <w:r w:rsidRPr="006530E8">
              <w:rPr>
                <w:rFonts w:asciiTheme="majorBidi" w:hAnsiTheme="majorBidi" w:cstheme="majorBidi"/>
                <w:b/>
                <w:bCs/>
              </w:rPr>
              <w:br/>
              <w:t>(14.7%)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(n = 37)</w:t>
            </w:r>
            <w:r w:rsidRPr="006530E8">
              <w:rPr>
                <w:rFonts w:asciiTheme="majorBidi" w:hAnsiTheme="majorBidi" w:cstheme="majorBidi"/>
                <w:b/>
                <w:bCs/>
              </w:rPr>
              <w:br/>
              <w:t>(11.9%)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(n = 227)</w:t>
            </w:r>
            <w:r w:rsidRPr="006530E8">
              <w:rPr>
                <w:rFonts w:asciiTheme="majorBidi" w:hAnsiTheme="majorBidi" w:cstheme="majorBidi"/>
                <w:b/>
                <w:bCs/>
              </w:rPr>
              <w:br/>
              <w:t>(73%)</w:t>
            </w:r>
          </w:p>
        </w:tc>
      </w:tr>
      <w:tr w:rsidR="006A4A40" w:rsidRPr="006530E8" w:rsidTr="00BE6FC6">
        <w:trPr>
          <w:trHeight w:val="664"/>
          <w:jc w:val="center"/>
        </w:trPr>
        <w:tc>
          <w:tcPr>
            <w:tcW w:w="1485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6530E8" w:rsidRDefault="006A4A40" w:rsidP="00BE6FC6">
            <w:pPr>
              <w:spacing w:before="80" w:after="40"/>
              <w:ind w:left="284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FLT3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175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56.2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82.6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13.5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57.7</w:t>
            </w:r>
          </w:p>
        </w:tc>
      </w:tr>
      <w:tr w:rsidR="006A4A40" w:rsidRPr="006530E8" w:rsidTr="00BE6FC6">
        <w:trPr>
          <w:trHeight w:val="391"/>
          <w:jc w:val="center"/>
        </w:trPr>
        <w:tc>
          <w:tcPr>
            <w:tcW w:w="1485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6530E8" w:rsidRDefault="006A4A40" w:rsidP="00BE6FC6">
            <w:pPr>
              <w:spacing w:before="80" w:after="40"/>
              <w:ind w:left="284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HRAS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4.2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24.3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1.3</w:t>
            </w:r>
          </w:p>
        </w:tc>
      </w:tr>
      <w:tr w:rsidR="006A4A40" w:rsidRPr="006530E8" w:rsidTr="00BE6FC6">
        <w:trPr>
          <w:trHeight w:val="664"/>
          <w:jc w:val="center"/>
        </w:trPr>
        <w:tc>
          <w:tcPr>
            <w:tcW w:w="1485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6530E8" w:rsidRDefault="006A4A40" w:rsidP="00BE6FC6">
            <w:pPr>
              <w:spacing w:before="80" w:after="40"/>
              <w:ind w:left="284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KIT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53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8.10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21.6</w:t>
            </w:r>
          </w:p>
        </w:tc>
      </w:tr>
      <w:tr w:rsidR="006A4A40" w:rsidRPr="006530E8" w:rsidTr="00BE6FC6">
        <w:trPr>
          <w:trHeight w:val="664"/>
          <w:jc w:val="center"/>
        </w:trPr>
        <w:tc>
          <w:tcPr>
            <w:tcW w:w="1485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6530E8" w:rsidRDefault="006A4A40" w:rsidP="00BE6FC6">
            <w:pPr>
              <w:spacing w:before="80" w:after="40"/>
              <w:ind w:left="284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KRAS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66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21.2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4.3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54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19.4</w:t>
            </w:r>
          </w:p>
        </w:tc>
      </w:tr>
      <w:tr w:rsidR="006A4A40" w:rsidRPr="006530E8" w:rsidTr="00BE6FC6">
        <w:trPr>
          <w:trHeight w:val="403"/>
          <w:jc w:val="center"/>
        </w:trPr>
        <w:tc>
          <w:tcPr>
            <w:tcW w:w="1485" w:type="dxa"/>
            <w:tcBorders>
              <w:top w:val="nil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A40" w:rsidRPr="006530E8" w:rsidRDefault="006A4A40" w:rsidP="00BE6FC6">
            <w:pPr>
              <w:spacing w:before="80" w:after="40"/>
              <w:ind w:left="284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NRAS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30E8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8.7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A4A40" w:rsidRPr="006530E8" w:rsidRDefault="006A4A40" w:rsidP="00BE6FC6">
            <w:pPr>
              <w:spacing w:before="80" w:after="40"/>
              <w:jc w:val="center"/>
              <w:rPr>
                <w:rFonts w:asciiTheme="majorBidi" w:hAnsiTheme="majorBidi" w:cstheme="majorBidi"/>
              </w:rPr>
            </w:pPr>
            <w:r w:rsidRPr="006530E8">
              <w:rPr>
                <w:rFonts w:asciiTheme="majorBidi" w:hAnsiTheme="majorBidi" w:cstheme="majorBidi"/>
              </w:rPr>
              <w:t>0.0</w:t>
            </w:r>
          </w:p>
        </w:tc>
      </w:tr>
    </w:tbl>
    <w:p w:rsidR="006A4A40" w:rsidRPr="000D471D" w:rsidRDefault="006A4A40" w:rsidP="006A4A40">
      <w:pPr>
        <w:spacing w:after="200" w:line="30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A4A40" w:rsidRDefault="006A4A40" w:rsidP="006A4A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4A40" w:rsidRDefault="006A4A40" w:rsidP="006A4A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4A40" w:rsidRDefault="006A4A40" w:rsidP="006A4A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4A40" w:rsidRDefault="006A4A40" w:rsidP="006A4A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4A40" w:rsidRDefault="006A4A40" w:rsidP="006A4A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4A40" w:rsidRDefault="006A4A40" w:rsidP="006A4A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4A40" w:rsidRPr="000D471D" w:rsidRDefault="006A4A40" w:rsidP="006A4A4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 (7</w:t>
      </w:r>
      <w:r w:rsidRPr="000D471D">
        <w:rPr>
          <w:rFonts w:asciiTheme="majorBidi" w:hAnsiTheme="majorBidi" w:cstheme="majorBidi"/>
          <w:b/>
          <w:bCs/>
          <w:sz w:val="24"/>
          <w:szCs w:val="24"/>
        </w:rPr>
        <w:t>):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D471D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Classification of genetic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variations according to their genetic location</w:t>
      </w:r>
    </w:p>
    <w:tbl>
      <w:tblPr>
        <w:tblStyle w:val="TableGrid"/>
        <w:tblW w:w="957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A4A40" w:rsidRPr="000D471D" w:rsidTr="00BE6FC6">
        <w:trPr>
          <w:jc w:val="center"/>
        </w:trPr>
        <w:tc>
          <w:tcPr>
            <w:tcW w:w="141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Clinical significance</w:t>
            </w:r>
          </w:p>
        </w:tc>
        <w:tc>
          <w:tcPr>
            <w:tcW w:w="1360" w:type="dxa"/>
            <w:gridSpan w:val="2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6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Intron </w:t>
            </w:r>
          </w:p>
        </w:tc>
        <w:tc>
          <w:tcPr>
            <w:tcW w:w="136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Exon </w:t>
            </w:r>
          </w:p>
        </w:tc>
        <w:tc>
          <w:tcPr>
            <w:tcW w:w="136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Splice site`3</w:t>
            </w:r>
          </w:p>
        </w:tc>
        <w:tc>
          <w:tcPr>
            <w:tcW w:w="136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UTR`3</w:t>
            </w:r>
          </w:p>
        </w:tc>
        <w:tc>
          <w:tcPr>
            <w:tcW w:w="1360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UTR`5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vMerge/>
            <w:tcBorders>
              <w:left w:val="thinThickSmallGap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4A40" w:rsidRPr="000D471D" w:rsidRDefault="006A4A40" w:rsidP="00BE6F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Variants of 2 +</w:t>
            </w:r>
            <w:proofErr w:type="spellStart"/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</w:t>
            </w:r>
            <w:proofErr w:type="spellEnd"/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cases 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28)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16) (57.1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10)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(35.7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2) (7.14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0) (0%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0)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(0%)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FLT3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53.6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68.7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HRAS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10.7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KIT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14.3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KRAS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17.8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NRAS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3.6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Variants of  22 –</w:t>
            </w:r>
            <w:proofErr w:type="spellStart"/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</w:t>
            </w:r>
            <w:proofErr w:type="spellEnd"/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cases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311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191) (61.4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91 )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(29.2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20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(6.4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 = 7) (2.2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(n=2)</w:t>
            </w: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(0.6%)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FLT3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56.2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57.6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49.4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HRAS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4.2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KIT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25.6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KRAS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29.6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  <w:tr w:rsidR="006A4A40" w:rsidRPr="000D471D" w:rsidTr="00BE6FC6">
        <w:trPr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A40" w:rsidRPr="000D471D" w:rsidRDefault="006A4A40" w:rsidP="00BE6FC6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NRAS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1.3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1D"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6A4A40" w:rsidRPr="000D471D" w:rsidRDefault="006A4A40" w:rsidP="00BE6F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</w:t>
            </w:r>
          </w:p>
        </w:tc>
      </w:tr>
    </w:tbl>
    <w:p w:rsidR="006A4A40" w:rsidRDefault="006A4A40" w:rsidP="006A4A40">
      <w:pPr>
        <w:ind w:left="1418" w:hanging="141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4A40" w:rsidRPr="00EE1F30" w:rsidRDefault="006A4A40" w:rsidP="006A4A40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6A4A40" w:rsidRDefault="006A4A40" w:rsidP="006A4A40"/>
    <w:p w:rsidR="006A4A40" w:rsidRDefault="006A4A40">
      <w:bookmarkStart w:id="0" w:name="_GoBack"/>
      <w:bookmarkEnd w:id="0"/>
    </w:p>
    <w:sectPr w:rsidR="006A4A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C6"/>
    <w:rsid w:val="00545EC6"/>
    <w:rsid w:val="006A4A40"/>
    <w:rsid w:val="007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20986C-238C-4C9A-A402-A26491BE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A4A4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A4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6A4A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2024-11-24T10:12:00Z</dcterms:created>
  <dcterms:modified xsi:type="dcterms:W3CDTF">2024-11-24T10:17:00Z</dcterms:modified>
</cp:coreProperties>
</file>