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A2A31E" w14:textId="538AFE62" w:rsidR="00910ACA" w:rsidRDefault="00910ACA" w:rsidP="00910ACA">
      <w:pPr>
        <w:rPr>
          <w:rFonts w:ascii="Times New Roman" w:hAnsi="Times New Roman" w:cs="Times New Roman"/>
          <w:b/>
          <w:bCs/>
          <w:sz w:val="24"/>
          <w:szCs w:val="24"/>
        </w:rPr>
      </w:pPr>
      <w:r>
        <w:rPr>
          <w:noProof/>
        </w:rPr>
        <w:drawing>
          <wp:anchor distT="0" distB="0" distL="114300" distR="114300" simplePos="0" relativeHeight="251658240" behindDoc="0" locked="0" layoutInCell="1" allowOverlap="1" wp14:anchorId="2F1E8AEF" wp14:editId="370DD7D4">
            <wp:simplePos x="0" y="0"/>
            <wp:positionH relativeFrom="margin">
              <wp:align>right</wp:align>
            </wp:positionH>
            <wp:positionV relativeFrom="paragraph">
              <wp:posOffset>695325</wp:posOffset>
            </wp:positionV>
            <wp:extent cx="5731510" cy="3483610"/>
            <wp:effectExtent l="0" t="0" r="2540" b="254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_S1.tif"/>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31510" cy="3483610"/>
                    </a:xfrm>
                    <a:prstGeom prst="rect">
                      <a:avLst/>
                    </a:prstGeom>
                  </pic:spPr>
                </pic:pic>
              </a:graphicData>
            </a:graphic>
          </wp:anchor>
        </w:drawing>
      </w:r>
      <w:r w:rsidRPr="00910ACA">
        <w:rPr>
          <w:rFonts w:ascii="Times New Roman" w:hAnsi="Times New Roman" w:cs="Times New Roman"/>
          <w:b/>
          <w:bCs/>
          <w:sz w:val="24"/>
          <w:szCs w:val="24"/>
        </w:rPr>
        <w:t xml:space="preserve"> </w:t>
      </w:r>
      <w:r w:rsidRPr="00314331">
        <w:rPr>
          <w:rFonts w:ascii="Times New Roman" w:hAnsi="Times New Roman" w:cs="Times New Roman"/>
          <w:b/>
          <w:bCs/>
          <w:sz w:val="24"/>
          <w:szCs w:val="24"/>
        </w:rPr>
        <w:t>Supplementary Information</w:t>
      </w:r>
    </w:p>
    <w:p w14:paraId="164DEA6B" w14:textId="4626C52A" w:rsidR="00910ACA" w:rsidRDefault="00910ACA" w:rsidP="00910ACA">
      <w:pPr>
        <w:rPr>
          <w:rFonts w:ascii="Times New Roman" w:hAnsi="Times New Roman" w:cs="Times New Roman"/>
          <w:b/>
          <w:bCs/>
          <w:sz w:val="24"/>
          <w:szCs w:val="24"/>
        </w:rPr>
      </w:pPr>
    </w:p>
    <w:p w14:paraId="4E4D3807" w14:textId="77777777" w:rsidR="00910ACA" w:rsidRDefault="00910ACA" w:rsidP="00910ACA">
      <w:pPr>
        <w:spacing w:line="480" w:lineRule="auto"/>
        <w:jc w:val="both"/>
        <w:rPr>
          <w:rFonts w:ascii="Times New Roman" w:hAnsi="Times New Roman" w:cs="Times New Roman"/>
          <w:b/>
          <w:bCs/>
          <w:sz w:val="24"/>
          <w:szCs w:val="24"/>
        </w:rPr>
      </w:pPr>
    </w:p>
    <w:p w14:paraId="793659CD" w14:textId="3971656F" w:rsidR="00910ACA" w:rsidRPr="00B55D20" w:rsidRDefault="00910ACA" w:rsidP="00910ACA">
      <w:pPr>
        <w:spacing w:line="480" w:lineRule="auto"/>
        <w:jc w:val="both"/>
        <w:rPr>
          <w:rFonts w:ascii="Times New Roman" w:hAnsi="Times New Roman" w:cs="Times New Roman"/>
          <w:sz w:val="24"/>
          <w:szCs w:val="24"/>
          <w:lang w:val="en-GB"/>
        </w:rPr>
      </w:pPr>
      <w:r w:rsidRPr="00B55D20">
        <w:rPr>
          <w:rFonts w:ascii="Times New Roman" w:hAnsi="Times New Roman" w:cs="Times New Roman"/>
          <w:b/>
          <w:bCs/>
          <w:sz w:val="24"/>
          <w:szCs w:val="24"/>
        </w:rPr>
        <w:t>Fig</w:t>
      </w:r>
      <w:r>
        <w:rPr>
          <w:rFonts w:ascii="Times New Roman" w:hAnsi="Times New Roman" w:cs="Times New Roman"/>
          <w:b/>
          <w:bCs/>
          <w:sz w:val="24"/>
          <w:szCs w:val="24"/>
        </w:rPr>
        <w:t xml:space="preserve"> </w:t>
      </w:r>
      <w:r w:rsidRPr="00B55D20">
        <w:rPr>
          <w:rFonts w:ascii="Times New Roman" w:hAnsi="Times New Roman" w:cs="Times New Roman"/>
          <w:b/>
          <w:bCs/>
          <w:sz w:val="24"/>
          <w:szCs w:val="24"/>
        </w:rPr>
        <w:t>S1</w:t>
      </w:r>
      <w:r>
        <w:rPr>
          <w:rFonts w:ascii="Times New Roman" w:hAnsi="Times New Roman" w:cs="Times New Roman"/>
          <w:b/>
          <w:bCs/>
          <w:sz w:val="24"/>
          <w:szCs w:val="24"/>
        </w:rPr>
        <w:t>.</w:t>
      </w:r>
      <w:r w:rsidRPr="00B55D20">
        <w:rPr>
          <w:rFonts w:ascii="Times New Roman" w:hAnsi="Times New Roman" w:cs="Times New Roman"/>
          <w:b/>
          <w:bCs/>
          <w:sz w:val="24"/>
          <w:szCs w:val="24"/>
        </w:rPr>
        <w:t xml:space="preserve"> </w:t>
      </w:r>
      <w:r w:rsidRPr="00B55D20">
        <w:rPr>
          <w:rFonts w:ascii="Times New Roman" w:hAnsi="Times New Roman" w:cs="Times New Roman"/>
          <w:sz w:val="24"/>
          <w:szCs w:val="24"/>
        </w:rPr>
        <w:t xml:space="preserve">The </w:t>
      </w:r>
      <w:proofErr w:type="spellStart"/>
      <w:r w:rsidRPr="00B55D20">
        <w:rPr>
          <w:rFonts w:ascii="Times New Roman" w:hAnsi="Times New Roman" w:cs="Times New Roman"/>
          <w:sz w:val="24"/>
          <w:szCs w:val="24"/>
        </w:rPr>
        <w:t>normalised</w:t>
      </w:r>
      <w:proofErr w:type="spellEnd"/>
      <w:r w:rsidRPr="00B55D20">
        <w:rPr>
          <w:rFonts w:ascii="Times New Roman" w:hAnsi="Times New Roman" w:cs="Times New Roman"/>
          <w:sz w:val="24"/>
          <w:szCs w:val="24"/>
        </w:rPr>
        <w:t xml:space="preserve"> RNA-sequencing dataset's principal component analysis (PCA) plot. The PCA </w:t>
      </w:r>
      <w:proofErr w:type="gramStart"/>
      <w:r w:rsidRPr="00B55D20">
        <w:rPr>
          <w:rFonts w:ascii="Times New Roman" w:hAnsi="Times New Roman" w:cs="Times New Roman"/>
          <w:sz w:val="24"/>
          <w:szCs w:val="24"/>
        </w:rPr>
        <w:t>was performed</w:t>
      </w:r>
      <w:proofErr w:type="gramEnd"/>
      <w:r w:rsidRPr="00B55D20">
        <w:rPr>
          <w:rFonts w:ascii="Times New Roman" w:hAnsi="Times New Roman" w:cs="Times New Roman"/>
          <w:sz w:val="24"/>
          <w:szCs w:val="24"/>
        </w:rPr>
        <w:t xml:space="preserve"> to </w:t>
      </w:r>
      <w:proofErr w:type="spellStart"/>
      <w:r w:rsidRPr="00B55D20">
        <w:rPr>
          <w:rFonts w:ascii="Times New Roman" w:hAnsi="Times New Roman" w:cs="Times New Roman"/>
          <w:sz w:val="24"/>
          <w:szCs w:val="24"/>
        </w:rPr>
        <w:t>visualise</w:t>
      </w:r>
      <w:proofErr w:type="spellEnd"/>
      <w:r w:rsidRPr="00B55D20">
        <w:rPr>
          <w:rFonts w:ascii="Times New Roman" w:hAnsi="Times New Roman" w:cs="Times New Roman"/>
          <w:sz w:val="24"/>
          <w:szCs w:val="24"/>
        </w:rPr>
        <w:t xml:space="preserve"> the overall transcriptomic differences between the control retina and retinoblastoma (RB) tumour samples. Each data point represents a single sample, with the 20 control retina samples depicted in blue and the 50 RB tumour samples in red. The first three principal components (PC1, PC2 and PC3) </w:t>
      </w:r>
      <w:proofErr w:type="gramStart"/>
      <w:r w:rsidRPr="00B55D20">
        <w:rPr>
          <w:rFonts w:ascii="Times New Roman" w:hAnsi="Times New Roman" w:cs="Times New Roman"/>
          <w:sz w:val="24"/>
          <w:szCs w:val="24"/>
        </w:rPr>
        <w:t>are shown</w:t>
      </w:r>
      <w:proofErr w:type="gramEnd"/>
      <w:r w:rsidRPr="00B55D20">
        <w:rPr>
          <w:rFonts w:ascii="Times New Roman" w:hAnsi="Times New Roman" w:cs="Times New Roman"/>
          <w:sz w:val="24"/>
          <w:szCs w:val="24"/>
        </w:rPr>
        <w:t xml:space="preserve">, capturing the </w:t>
      </w:r>
      <w:r>
        <w:rPr>
          <w:rFonts w:ascii="Times New Roman" w:hAnsi="Times New Roman" w:cs="Times New Roman"/>
          <w:sz w:val="24"/>
          <w:szCs w:val="24"/>
        </w:rPr>
        <w:t>most significant</w:t>
      </w:r>
      <w:r w:rsidRPr="00B55D20">
        <w:rPr>
          <w:rFonts w:ascii="Times New Roman" w:hAnsi="Times New Roman" w:cs="Times New Roman"/>
          <w:sz w:val="24"/>
          <w:szCs w:val="24"/>
        </w:rPr>
        <w:t xml:space="preserve"> proportion of the variance in the dataset. The plot demonstrates a clear separation between the control and RB tumour samples, indicating distinct gene expression profiles between the two groups.</w:t>
      </w:r>
    </w:p>
    <w:p w14:paraId="5866C23C" w14:textId="77777777" w:rsidR="00910ACA" w:rsidRPr="00314331" w:rsidRDefault="00910ACA" w:rsidP="00910ACA">
      <w:pPr>
        <w:rPr>
          <w:rFonts w:ascii="Times New Roman" w:hAnsi="Times New Roman" w:cs="Times New Roman"/>
          <w:b/>
          <w:bCs/>
          <w:sz w:val="24"/>
          <w:szCs w:val="24"/>
        </w:rPr>
      </w:pPr>
    </w:p>
    <w:p w14:paraId="44FCFEFF" w14:textId="1B50FDF0" w:rsidR="00910ACA" w:rsidRDefault="00910ACA">
      <w:r>
        <w:rPr>
          <w:noProof/>
        </w:rPr>
        <w:lastRenderedPageBreak/>
        <w:drawing>
          <wp:inline distT="0" distB="0" distL="0" distR="0" wp14:anchorId="0A9989B5" wp14:editId="1A59D300">
            <wp:extent cx="5731510" cy="2926080"/>
            <wp:effectExtent l="0" t="0" r="254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_S2.tif"/>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2926080"/>
                    </a:xfrm>
                    <a:prstGeom prst="rect">
                      <a:avLst/>
                    </a:prstGeom>
                  </pic:spPr>
                </pic:pic>
              </a:graphicData>
            </a:graphic>
          </wp:inline>
        </w:drawing>
      </w:r>
    </w:p>
    <w:p w14:paraId="35B42B8A" w14:textId="1C6C8900" w:rsidR="00910ACA" w:rsidRDefault="00910ACA" w:rsidP="00910ACA">
      <w:pPr>
        <w:spacing w:line="480" w:lineRule="auto"/>
        <w:jc w:val="both"/>
        <w:rPr>
          <w:rFonts w:ascii="Times New Roman" w:hAnsi="Times New Roman" w:cs="Times New Roman"/>
          <w:sz w:val="24"/>
          <w:szCs w:val="24"/>
        </w:rPr>
      </w:pPr>
      <w:r w:rsidRPr="00B55D20">
        <w:rPr>
          <w:rFonts w:ascii="Times New Roman" w:hAnsi="Times New Roman" w:cs="Times New Roman"/>
          <w:b/>
          <w:bCs/>
          <w:sz w:val="24"/>
          <w:szCs w:val="24"/>
        </w:rPr>
        <w:t>Fig S2.</w:t>
      </w:r>
      <w:r w:rsidRPr="00B55D20">
        <w:rPr>
          <w:rFonts w:ascii="Times New Roman" w:hAnsi="Times New Roman" w:cs="Times New Roman"/>
          <w:sz w:val="24"/>
          <w:szCs w:val="24"/>
        </w:rPr>
        <w:t xml:space="preserve"> Module-trait relationships and gene significance in the weighted gene co-expression network analysis (WGCNA). (A) Heatmap of module-trait associations. Each row corresponds to a module eigengene, and each column </w:t>
      </w:r>
      <w:r>
        <w:rPr>
          <w:rFonts w:ascii="Times New Roman" w:hAnsi="Times New Roman" w:cs="Times New Roman"/>
          <w:sz w:val="24"/>
          <w:szCs w:val="24"/>
        </w:rPr>
        <w:t xml:space="preserve">corresponds </w:t>
      </w:r>
      <w:r w:rsidRPr="00B55D20">
        <w:rPr>
          <w:rFonts w:ascii="Times New Roman" w:hAnsi="Times New Roman" w:cs="Times New Roman"/>
          <w:sz w:val="24"/>
          <w:szCs w:val="24"/>
        </w:rPr>
        <w:t xml:space="preserve">to a trait (tissue expression in control retina, retinoblastoma (RB) tumours, and dysregulated splicing factors). Each cell contains the corresponding Pearson's correlation coefficient and p-value. The cell colour represents the correlation according to the colour legend, with red indicating a positive correlation and blue indicating a negative correlation. (B) Scatter plot of module membership (MM) versus gene significance (GS) for differentially alternatively spliced (DAS) genes in the black module. The black module shows a higher correlation with DAS events in RB tumours </w:t>
      </w:r>
      <w:r>
        <w:rPr>
          <w:rFonts w:ascii="Times New Roman" w:hAnsi="Times New Roman" w:cs="Times New Roman"/>
          <w:sz w:val="24"/>
          <w:szCs w:val="24"/>
        </w:rPr>
        <w:t>than</w:t>
      </w:r>
      <w:r w:rsidRPr="00B55D20">
        <w:rPr>
          <w:rFonts w:ascii="Times New Roman" w:hAnsi="Times New Roman" w:cs="Times New Roman"/>
          <w:sz w:val="24"/>
          <w:szCs w:val="24"/>
        </w:rPr>
        <w:t xml:space="preserve"> other modules. MM represents the correlation between a gene's expression profile and the module eigengene. GS measures the association between a gene's expression and the RB tumour phenotype. The plot demonstrates a strong positive correlation between MM and GS in the black module.</w:t>
      </w:r>
    </w:p>
    <w:p w14:paraId="0AD078A1" w14:textId="7AB071BB" w:rsidR="00910ACA" w:rsidRDefault="00910ACA" w:rsidP="00910ACA">
      <w:pPr>
        <w:spacing w:line="480" w:lineRule="auto"/>
        <w:jc w:val="both"/>
        <w:rPr>
          <w:rFonts w:ascii="Times New Roman" w:hAnsi="Times New Roman" w:cs="Times New Roman"/>
          <w:sz w:val="24"/>
          <w:szCs w:val="24"/>
        </w:rPr>
      </w:pPr>
    </w:p>
    <w:p w14:paraId="5E080A71" w14:textId="75858676" w:rsidR="00910ACA" w:rsidRDefault="00910ACA" w:rsidP="00910ACA">
      <w:pPr>
        <w:spacing w:line="480" w:lineRule="auto"/>
        <w:jc w:val="both"/>
        <w:rPr>
          <w:rFonts w:ascii="Times New Roman" w:hAnsi="Times New Roman" w:cs="Times New Roman"/>
          <w:sz w:val="24"/>
          <w:szCs w:val="24"/>
        </w:rPr>
      </w:pPr>
    </w:p>
    <w:p w14:paraId="1E844EE9" w14:textId="77777777" w:rsidR="00910ACA" w:rsidRDefault="00910ACA" w:rsidP="00910ACA">
      <w:pPr>
        <w:spacing w:line="480" w:lineRule="auto"/>
        <w:jc w:val="both"/>
        <w:rPr>
          <w:rFonts w:ascii="Times New Roman" w:hAnsi="Times New Roman" w:cs="Times New Roman"/>
          <w:sz w:val="24"/>
          <w:szCs w:val="24"/>
        </w:rPr>
      </w:pPr>
    </w:p>
    <w:p w14:paraId="6A1687C1" w14:textId="086BC136" w:rsidR="00095F08" w:rsidRDefault="00095F08" w:rsidP="00095F08">
      <w:pPr>
        <w:spacing w:line="480" w:lineRule="auto"/>
        <w:jc w:val="both"/>
        <w:rPr>
          <w:rFonts w:ascii="Times New Roman" w:hAnsi="Times New Roman" w:cs="Times New Roman"/>
          <w:b/>
          <w:bCs/>
          <w:sz w:val="24"/>
          <w:szCs w:val="24"/>
        </w:rPr>
      </w:pPr>
      <w:r>
        <w:rPr>
          <w:noProof/>
        </w:rPr>
        <w:lastRenderedPageBreak/>
        <w:drawing>
          <wp:anchor distT="0" distB="0" distL="114300" distR="114300" simplePos="0" relativeHeight="251659264" behindDoc="0" locked="0" layoutInCell="1" allowOverlap="1" wp14:anchorId="69394A77" wp14:editId="79CD8135">
            <wp:simplePos x="0" y="0"/>
            <wp:positionH relativeFrom="column">
              <wp:posOffset>-476885</wp:posOffset>
            </wp:positionH>
            <wp:positionV relativeFrom="paragraph">
              <wp:posOffset>304800</wp:posOffset>
            </wp:positionV>
            <wp:extent cx="6619875" cy="3981450"/>
            <wp:effectExtent l="0" t="0" r="9525" b="0"/>
            <wp:wrapTopAndBottom/>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6" cstate="print">
                      <a:extLst>
                        <a:ext uri="{28A0092B-C50C-407E-A947-70E740481C1C}">
                          <a14:useLocalDpi xmlns:a14="http://schemas.microsoft.com/office/drawing/2010/main" val="0"/>
                        </a:ext>
                      </a:extLst>
                    </a:blip>
                    <a:stretch>
                      <a:fillRect/>
                    </a:stretch>
                  </pic:blipFill>
                  <pic:spPr>
                    <a:xfrm>
                      <a:off x="0" y="0"/>
                      <a:ext cx="6619875" cy="3981450"/>
                    </a:xfrm>
                    <a:prstGeom prst="rect">
                      <a:avLst/>
                    </a:prstGeom>
                  </pic:spPr>
                </pic:pic>
              </a:graphicData>
            </a:graphic>
            <wp14:sizeRelH relativeFrom="margin">
              <wp14:pctWidth>0</wp14:pctWidth>
            </wp14:sizeRelH>
            <wp14:sizeRelV relativeFrom="margin">
              <wp14:pctHeight>0</wp14:pctHeight>
            </wp14:sizeRelV>
          </wp:anchor>
        </w:drawing>
      </w:r>
    </w:p>
    <w:p w14:paraId="54ABDEA7" w14:textId="0CD9D19B" w:rsidR="00095F08" w:rsidRDefault="00095F08" w:rsidP="00095F08">
      <w:pPr>
        <w:spacing w:line="480" w:lineRule="auto"/>
        <w:jc w:val="both"/>
        <w:rPr>
          <w:rFonts w:ascii="Times New Roman" w:hAnsi="Times New Roman" w:cs="Times New Roman"/>
          <w:b/>
          <w:bCs/>
          <w:sz w:val="24"/>
          <w:szCs w:val="24"/>
        </w:rPr>
      </w:pPr>
      <w:bookmarkStart w:id="0" w:name="_GoBack"/>
      <w:bookmarkEnd w:id="0"/>
    </w:p>
    <w:p w14:paraId="6F5017AC" w14:textId="78990558" w:rsidR="00095F08" w:rsidRDefault="00095F08" w:rsidP="00095F08">
      <w:pPr>
        <w:spacing w:line="480" w:lineRule="auto"/>
        <w:jc w:val="both"/>
        <w:rPr>
          <w:rFonts w:ascii="Times New Roman" w:hAnsi="Times New Roman" w:cs="Times New Roman"/>
          <w:sz w:val="24"/>
          <w:szCs w:val="24"/>
        </w:rPr>
      </w:pPr>
      <w:r>
        <w:rPr>
          <w:rFonts w:ascii="Times New Roman" w:hAnsi="Times New Roman" w:cs="Times New Roman"/>
          <w:b/>
          <w:bCs/>
          <w:sz w:val="24"/>
          <w:szCs w:val="24"/>
        </w:rPr>
        <w:t>Fig S3</w:t>
      </w:r>
      <w:r>
        <w:rPr>
          <w:rFonts w:ascii="Times New Roman" w:hAnsi="Times New Roman" w:cs="Times New Roman"/>
          <w:sz w:val="24"/>
          <w:szCs w:val="24"/>
        </w:rPr>
        <w:t xml:space="preserve">. Sub-network of functional enrichment analysis for genes in the black module. Hub genes, selected based on centrality measures, </w:t>
      </w:r>
      <w:proofErr w:type="gramStart"/>
      <w:r>
        <w:rPr>
          <w:rFonts w:ascii="Times New Roman" w:hAnsi="Times New Roman" w:cs="Times New Roman"/>
          <w:sz w:val="24"/>
          <w:szCs w:val="24"/>
        </w:rPr>
        <w:t>are highlighted</w:t>
      </w:r>
      <w:proofErr w:type="gramEnd"/>
      <w:r>
        <w:rPr>
          <w:rFonts w:ascii="Times New Roman" w:hAnsi="Times New Roman" w:cs="Times New Roman"/>
          <w:sz w:val="24"/>
          <w:szCs w:val="24"/>
        </w:rPr>
        <w:t xml:space="preserve"> in blue. All nodes are red, indicating that all genes in the black module are upregulated. Node shapes represent differential alternative splicing (DAS) status: circles for downregulated DAS genes, hexagons for upregulated DAS genes, and diamonds for non-significant DAS genes. Downward triangles represent enriched pathways.</w:t>
      </w:r>
    </w:p>
    <w:p w14:paraId="0D2AAF17" w14:textId="7DB8A690" w:rsidR="00910ACA" w:rsidRDefault="00910ACA"/>
    <w:p w14:paraId="7FC9B908" w14:textId="45DB4826" w:rsidR="00910ACA" w:rsidRDefault="00910ACA"/>
    <w:p w14:paraId="2BA377AE" w14:textId="748532EA" w:rsidR="00910ACA" w:rsidRDefault="00910ACA">
      <w:r>
        <w:rPr>
          <w:noProof/>
        </w:rPr>
        <w:lastRenderedPageBreak/>
        <w:drawing>
          <wp:inline distT="0" distB="0" distL="0" distR="0" wp14:anchorId="3C5E0920" wp14:editId="5CA657DA">
            <wp:extent cx="5731510" cy="4279265"/>
            <wp:effectExtent l="0" t="0" r="254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_S4.tiff"/>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4279265"/>
                    </a:xfrm>
                    <a:prstGeom prst="rect">
                      <a:avLst/>
                    </a:prstGeom>
                  </pic:spPr>
                </pic:pic>
              </a:graphicData>
            </a:graphic>
          </wp:inline>
        </w:drawing>
      </w:r>
    </w:p>
    <w:p w14:paraId="5A81B62A" w14:textId="362335D4" w:rsidR="00910ACA" w:rsidRPr="001A5D60" w:rsidRDefault="00910ACA" w:rsidP="00910ACA">
      <w:pPr>
        <w:spacing w:line="480" w:lineRule="auto"/>
        <w:jc w:val="both"/>
        <w:rPr>
          <w:rFonts w:ascii="Times New Roman" w:hAnsi="Times New Roman" w:cs="Times New Roman"/>
          <w:sz w:val="24"/>
          <w:szCs w:val="24"/>
          <w:lang w:val="en-GB"/>
        </w:rPr>
      </w:pPr>
      <w:r w:rsidRPr="001A5D60">
        <w:rPr>
          <w:rFonts w:ascii="Times New Roman" w:hAnsi="Times New Roman" w:cs="Times New Roman"/>
          <w:b/>
          <w:bCs/>
          <w:sz w:val="24"/>
          <w:szCs w:val="24"/>
        </w:rPr>
        <w:t>Fig S4</w:t>
      </w:r>
      <w:r>
        <w:rPr>
          <w:rFonts w:ascii="Times New Roman" w:hAnsi="Times New Roman" w:cs="Times New Roman"/>
          <w:sz w:val="24"/>
          <w:szCs w:val="24"/>
        </w:rPr>
        <w:t>.</w:t>
      </w:r>
      <w:r w:rsidRPr="001A5D60">
        <w:rPr>
          <w:rFonts w:ascii="Times New Roman" w:hAnsi="Times New Roman" w:cs="Times New Roman"/>
          <w:sz w:val="24"/>
          <w:szCs w:val="24"/>
        </w:rPr>
        <w:t xml:space="preserve"> Protein-protein interaction (PPI) network of splicing factors and differentially alternatively spliced (DAS) hub genes. The network </w:t>
      </w:r>
      <w:proofErr w:type="spellStart"/>
      <w:r w:rsidRPr="001A5D60">
        <w:rPr>
          <w:rFonts w:ascii="Times New Roman" w:hAnsi="Times New Roman" w:cs="Times New Roman"/>
          <w:sz w:val="24"/>
          <w:szCs w:val="24"/>
        </w:rPr>
        <w:t>visualises</w:t>
      </w:r>
      <w:proofErr w:type="spellEnd"/>
      <w:r w:rsidRPr="001A5D60">
        <w:rPr>
          <w:rFonts w:ascii="Times New Roman" w:hAnsi="Times New Roman" w:cs="Times New Roman"/>
          <w:sz w:val="24"/>
          <w:szCs w:val="24"/>
        </w:rPr>
        <w:t xml:space="preserve"> the interactions between splicing </w:t>
      </w:r>
      <w:proofErr w:type="gramStart"/>
      <w:r w:rsidRPr="001A5D60">
        <w:rPr>
          <w:rFonts w:ascii="Times New Roman" w:hAnsi="Times New Roman" w:cs="Times New Roman"/>
          <w:sz w:val="24"/>
          <w:szCs w:val="24"/>
        </w:rPr>
        <w:t>factors(</w:t>
      </w:r>
      <w:proofErr w:type="gramEnd"/>
      <w:r w:rsidRPr="001A5D60">
        <w:rPr>
          <w:rFonts w:ascii="Times New Roman" w:hAnsi="Times New Roman" w:cs="Times New Roman"/>
          <w:sz w:val="24"/>
          <w:szCs w:val="24"/>
        </w:rPr>
        <w:t xml:space="preserve">Triangle) and DAS hub genes(circles) identified in the analysis. Nodes represent proteins encoded by the genes, and edges represent physical and functional interactions between the proteins. The genes highlighted with red borders have the highest degree of centrality (i.e., the highest number of interconnected nodes). They </w:t>
      </w:r>
      <w:proofErr w:type="gramStart"/>
      <w:r w:rsidRPr="001A5D60">
        <w:rPr>
          <w:rFonts w:ascii="Times New Roman" w:hAnsi="Times New Roman" w:cs="Times New Roman"/>
          <w:sz w:val="24"/>
          <w:szCs w:val="24"/>
        </w:rPr>
        <w:t>are connected</w:t>
      </w:r>
      <w:proofErr w:type="gramEnd"/>
      <w:r w:rsidRPr="001A5D60">
        <w:rPr>
          <w:rFonts w:ascii="Times New Roman" w:hAnsi="Times New Roman" w:cs="Times New Roman"/>
          <w:sz w:val="24"/>
          <w:szCs w:val="24"/>
        </w:rPr>
        <w:t xml:space="preserve"> to the splicing factors HNRNPA1 and ILF2, suggesting their potential role in regulating alternative splicing events.</w:t>
      </w:r>
    </w:p>
    <w:p w14:paraId="34FF2A5A" w14:textId="77777777" w:rsidR="00910ACA" w:rsidRDefault="00910ACA"/>
    <w:sectPr w:rsidR="00910AC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ACA"/>
    <w:rsid w:val="00095F08"/>
    <w:rsid w:val="0063536C"/>
    <w:rsid w:val="00910A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A896FF"/>
  <w15:chartTrackingRefBased/>
  <w15:docId w15:val="{762F5FDD-1825-4D80-8DC3-CD4693645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0ACA"/>
    <w:rPr>
      <w:rFonts w:ascii="Calibri" w:eastAsia="Calibri" w:hAnsi="Calibri" w:cs="Calibri"/>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0171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5" Type="http://schemas.openxmlformats.org/officeDocument/2006/relationships/image" Target="media/image2.tiff"/><Relationship Id="rId4" Type="http://schemas.openxmlformats.org/officeDocument/2006/relationships/image" Target="media/image1.tiff"/><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411</Words>
  <Characters>2499</Characters>
  <Application>Microsoft Office Word</Application>
  <DocSecurity>0</DocSecurity>
  <Lines>47</Lines>
  <Paragraphs>5</Paragraphs>
  <ScaleCrop>false</ScaleCrop>
  <Company/>
  <LinksUpToDate>false</LinksUpToDate>
  <CharactersWithSpaces>2906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 Hameed Aslam A</dc:creator>
  <cp:keywords/>
  <dc:description/>
  <cp:lastModifiedBy>Mohamed Hameed Aslam A</cp:lastModifiedBy>
  <cp:revision>3</cp:revision>
  <dcterms:created xsi:type="dcterms:W3CDTF">2025-02-20T04:19:00Z</dcterms:created>
  <dcterms:modified xsi:type="dcterms:W3CDTF">2025-02-21T12:26:00Z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863c050a-9af4-4210-879f-7629dda8bdf0</vt:lpwstr>
  </property>
</Properties>
</file>