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07" w:rsidRDefault="00DF1307"/>
    <w:p w:rsidR="00B03D98" w:rsidRPr="00B03D98" w:rsidRDefault="000A2411" w:rsidP="00B03D9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Supplementary </w:t>
      </w:r>
      <w:r w:rsidR="00B03D98" w:rsidRPr="00B03D98">
        <w:rPr>
          <w:rFonts w:asciiTheme="majorBidi" w:hAnsiTheme="majorBidi" w:cstheme="majorBidi"/>
        </w:rPr>
        <w:t>Table 1: The characteristic of selected primary studies</w:t>
      </w:r>
    </w:p>
    <w:tbl>
      <w:tblPr>
        <w:tblStyle w:val="GridTable1Light"/>
        <w:tblW w:w="6160" w:type="pct"/>
        <w:tblInd w:w="-1085" w:type="dxa"/>
        <w:tblLayout w:type="fixed"/>
        <w:tblLook w:val="04A0" w:firstRow="1" w:lastRow="0" w:firstColumn="1" w:lastColumn="0" w:noHBand="0" w:noVBand="1"/>
      </w:tblPr>
      <w:tblGrid>
        <w:gridCol w:w="1328"/>
        <w:gridCol w:w="671"/>
        <w:gridCol w:w="991"/>
        <w:gridCol w:w="963"/>
        <w:gridCol w:w="730"/>
        <w:gridCol w:w="714"/>
        <w:gridCol w:w="733"/>
        <w:gridCol w:w="1415"/>
        <w:gridCol w:w="963"/>
        <w:gridCol w:w="1843"/>
        <w:gridCol w:w="1168"/>
      </w:tblGrid>
      <w:tr w:rsidR="00B03D98" w:rsidRPr="00BA5760" w:rsidTr="006957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pct"/>
            <w:vAlign w:val="center"/>
          </w:tcPr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  <w:highlight w:val="green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Authors (Years)</w:t>
            </w:r>
          </w:p>
        </w:tc>
        <w:tc>
          <w:tcPr>
            <w:tcW w:w="291" w:type="pct"/>
            <w:vAlign w:val="center"/>
          </w:tcPr>
          <w:p w:rsidR="00B03D98" w:rsidRPr="00BA5760" w:rsidRDefault="00B03D98" w:rsidP="00695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Study design</w:t>
            </w:r>
          </w:p>
        </w:tc>
        <w:tc>
          <w:tcPr>
            <w:tcW w:w="430" w:type="pct"/>
            <w:vAlign w:val="center"/>
          </w:tcPr>
          <w:p w:rsidR="00B03D98" w:rsidRPr="00BA5760" w:rsidRDefault="00B03D98" w:rsidP="00695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Country</w:t>
            </w:r>
          </w:p>
        </w:tc>
        <w:tc>
          <w:tcPr>
            <w:tcW w:w="418" w:type="pct"/>
            <w:vMerge w:val="restart"/>
            <w:vAlign w:val="center"/>
          </w:tcPr>
          <w:p w:rsidR="00B03D98" w:rsidRPr="00BA5760" w:rsidRDefault="00B03D98" w:rsidP="00695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Study</w:t>
            </w:r>
          </w:p>
          <w:p w:rsidR="00B03D98" w:rsidRPr="00BA5760" w:rsidRDefault="00B03D98" w:rsidP="00695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population</w:t>
            </w:r>
          </w:p>
        </w:tc>
        <w:tc>
          <w:tcPr>
            <w:tcW w:w="317" w:type="pct"/>
            <w:vMerge w:val="restart"/>
            <w:vAlign w:val="center"/>
          </w:tcPr>
          <w:p w:rsidR="00B03D98" w:rsidRPr="00BA5760" w:rsidRDefault="00B03D98" w:rsidP="00695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Age</w:t>
            </w:r>
          </w:p>
        </w:tc>
        <w:tc>
          <w:tcPr>
            <w:tcW w:w="310" w:type="pct"/>
            <w:vMerge w:val="restart"/>
            <w:vAlign w:val="center"/>
          </w:tcPr>
          <w:p w:rsidR="00B03D98" w:rsidRPr="00BA5760" w:rsidRDefault="00B03D98" w:rsidP="00695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Population</w:t>
            </w:r>
          </w:p>
          <w:p w:rsidR="00B03D98" w:rsidRPr="00BA5760" w:rsidRDefault="00B03D98" w:rsidP="00695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Follow-Up</w:t>
            </w:r>
          </w:p>
          <w:p w:rsidR="00B03D98" w:rsidRPr="00BA5760" w:rsidRDefault="00B03D98" w:rsidP="00695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(Years)</w:t>
            </w:r>
          </w:p>
        </w:tc>
        <w:tc>
          <w:tcPr>
            <w:tcW w:w="318" w:type="pct"/>
            <w:vMerge w:val="restart"/>
            <w:vAlign w:val="center"/>
          </w:tcPr>
          <w:p w:rsidR="00B03D98" w:rsidRPr="00BA5760" w:rsidRDefault="00B03D98" w:rsidP="00695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Sample size</w:t>
            </w:r>
          </w:p>
        </w:tc>
        <w:tc>
          <w:tcPr>
            <w:tcW w:w="614" w:type="pct"/>
            <w:vMerge w:val="restart"/>
            <w:vAlign w:val="center"/>
          </w:tcPr>
          <w:p w:rsidR="00B03D98" w:rsidRPr="00BA5760" w:rsidRDefault="00B03D98" w:rsidP="00695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Outcome(s)</w:t>
            </w:r>
          </w:p>
        </w:tc>
        <w:tc>
          <w:tcPr>
            <w:tcW w:w="418" w:type="pct"/>
            <w:vMerge w:val="restart"/>
            <w:vAlign w:val="center"/>
          </w:tcPr>
          <w:p w:rsidR="00B03D98" w:rsidRPr="00BA5760" w:rsidRDefault="00B03D98" w:rsidP="00695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Outcome</w:t>
            </w:r>
          </w:p>
          <w:p w:rsidR="00B03D98" w:rsidRPr="00BA5760" w:rsidRDefault="00B03D98" w:rsidP="00695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assessment</w:t>
            </w:r>
          </w:p>
        </w:tc>
        <w:tc>
          <w:tcPr>
            <w:tcW w:w="800" w:type="pct"/>
            <w:vMerge w:val="restart"/>
            <w:vAlign w:val="center"/>
          </w:tcPr>
          <w:p w:rsidR="00B03D98" w:rsidRPr="00BA5760" w:rsidRDefault="00B03D98" w:rsidP="00695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Adjustment</w:t>
            </w:r>
          </w:p>
          <w:p w:rsidR="00B03D98" w:rsidRPr="00BA5760" w:rsidRDefault="00B03D98" w:rsidP="00695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507" w:type="pct"/>
            <w:vMerge w:val="restart"/>
            <w:vAlign w:val="center"/>
          </w:tcPr>
          <w:p w:rsidR="00B03D98" w:rsidRPr="00BA5760" w:rsidRDefault="00B03D98" w:rsidP="00695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Study description;</w:t>
            </w:r>
          </w:p>
          <w:p w:rsidR="00B03D98" w:rsidRPr="00BA5760" w:rsidRDefault="00B03D98" w:rsidP="00695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size  cohort</w:t>
            </w:r>
          </w:p>
        </w:tc>
      </w:tr>
      <w:tr w:rsidR="00B03D98" w:rsidRPr="00BA5760" w:rsidTr="00695710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  <w:gridSpan w:val="3"/>
            <w:shd w:val="clear" w:color="auto" w:fill="E7E6E6" w:themeFill="background2"/>
            <w:vAlign w:val="center"/>
          </w:tcPr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Plasma/serum selenium studies</w:t>
            </w:r>
          </w:p>
        </w:tc>
        <w:tc>
          <w:tcPr>
            <w:tcW w:w="418" w:type="pct"/>
            <w:vMerge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7" w:type="pct"/>
            <w:vMerge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318" w:type="pct"/>
            <w:vMerge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18" w:type="pct"/>
            <w:vMerge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00" w:type="pct"/>
            <w:vMerge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03D98" w:rsidRPr="00BA5760" w:rsidTr="0069571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pct"/>
            <w:vAlign w:val="center"/>
          </w:tcPr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Outzen et al,</w:t>
            </w:r>
          </w:p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2016</w:t>
            </w:r>
          </w:p>
        </w:tc>
        <w:tc>
          <w:tcPr>
            <w:tcW w:w="291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nested case–control</w:t>
            </w:r>
          </w:p>
        </w:tc>
        <w:tc>
          <w:tcPr>
            <w:tcW w:w="43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Denmark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White</w:t>
            </w:r>
          </w:p>
        </w:tc>
        <w:tc>
          <w:tcPr>
            <w:tcW w:w="31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50-64</w:t>
            </w:r>
          </w:p>
        </w:tc>
        <w:tc>
          <w:tcPr>
            <w:tcW w:w="31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3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784 cases;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784  controls</w:t>
            </w:r>
          </w:p>
        </w:tc>
        <w:tc>
          <w:tcPr>
            <w:tcW w:w="614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Prostate cancer incidence, Advanced prostate cancer incidence, High grade prostate cancer incidence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Cancer Registry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0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education, smoking status, smoking duration, current tobacco use and participation in sport.</w:t>
            </w:r>
          </w:p>
        </w:tc>
        <w:tc>
          <w:tcPr>
            <w:tcW w:w="50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Danish 80 996 men</w:t>
            </w:r>
          </w:p>
        </w:tc>
      </w:tr>
      <w:tr w:rsidR="00B03D98" w:rsidRPr="00BA5760" w:rsidTr="00695710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pct"/>
            <w:vAlign w:val="center"/>
          </w:tcPr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Steinbrecher et al,</w:t>
            </w:r>
          </w:p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2010</w:t>
            </w:r>
          </w:p>
        </w:tc>
        <w:tc>
          <w:tcPr>
            <w:tcW w:w="291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case-control</w:t>
            </w:r>
          </w:p>
        </w:tc>
        <w:tc>
          <w:tcPr>
            <w:tcW w:w="43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Germany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Multiethnic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40-64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2-3</w:t>
            </w:r>
          </w:p>
        </w:tc>
        <w:tc>
          <w:tcPr>
            <w:tcW w:w="3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248 cases;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492  controls</w:t>
            </w:r>
          </w:p>
        </w:tc>
        <w:tc>
          <w:tcPr>
            <w:tcW w:w="614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Prostate cancer incidence, Low grade prostate cancer incidence, High grade prostate cancer incidence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Tissue analysis</w:t>
            </w:r>
          </w:p>
        </w:tc>
        <w:tc>
          <w:tcPr>
            <w:tcW w:w="80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family history of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prostate cancer in first-degree relatives, participation in PSA screening, smoking status, educational attainment,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body mass index, or vigorous physical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activity.</w:t>
            </w:r>
          </w:p>
        </w:tc>
        <w:tc>
          <w:tcPr>
            <w:tcW w:w="50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EPIC-Heidelberg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11928men + 13612 women</w:t>
            </w:r>
          </w:p>
        </w:tc>
      </w:tr>
      <w:tr w:rsidR="00B03D98" w:rsidRPr="00BA5760" w:rsidTr="00695710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pct"/>
            <w:vAlign w:val="center"/>
          </w:tcPr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Li et al,</w:t>
            </w:r>
          </w:p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2004</w:t>
            </w:r>
          </w:p>
        </w:tc>
        <w:tc>
          <w:tcPr>
            <w:tcW w:w="291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Nested  case-control</w:t>
            </w:r>
          </w:p>
        </w:tc>
        <w:tc>
          <w:tcPr>
            <w:tcW w:w="43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F41BD3">
              <w:rPr>
                <w:rFonts w:asciiTheme="majorBidi" w:hAnsiTheme="majorBidi" w:cstheme="majorBidi"/>
                <w:sz w:val="16"/>
                <w:szCs w:val="16"/>
              </w:rPr>
              <w:t>USA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Multiethnic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40-84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586 cases;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577  controls</w:t>
            </w:r>
          </w:p>
        </w:tc>
        <w:tc>
          <w:tcPr>
            <w:tcW w:w="614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Prostate cancer incidence, Advanced prostate cancer incidence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Tissue  analysis</w:t>
            </w:r>
          </w:p>
        </w:tc>
        <w:tc>
          <w:tcPr>
            <w:tcW w:w="80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Age, smoking habits, duration of follow up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50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Physicians’ Health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Study; 22,071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</w:tr>
      <w:tr w:rsidR="00B03D98" w:rsidRPr="00BA5760" w:rsidTr="00695710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pct"/>
            <w:vAlign w:val="center"/>
          </w:tcPr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Goodman  et  al,  2001</w:t>
            </w:r>
          </w:p>
        </w:tc>
        <w:tc>
          <w:tcPr>
            <w:tcW w:w="291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Nested  case-control</w:t>
            </w:r>
          </w:p>
        </w:tc>
        <w:tc>
          <w:tcPr>
            <w:tcW w:w="43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F41BD3">
              <w:rPr>
                <w:rFonts w:asciiTheme="majorBidi" w:hAnsiTheme="majorBidi" w:cstheme="majorBidi"/>
                <w:sz w:val="16"/>
                <w:szCs w:val="16"/>
              </w:rPr>
              <w:t>USA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Multiethnic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45–74</w:t>
            </w:r>
          </w:p>
        </w:tc>
        <w:tc>
          <w:tcPr>
            <w:tcW w:w="31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3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235 cases;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456  controls</w:t>
            </w:r>
          </w:p>
        </w:tc>
        <w:tc>
          <w:tcPr>
            <w:tcW w:w="614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Prostate cancer incidence, Advanced prostate cancer incidence, Low grade prostate cancer incidence, High grade prostate cancer incidence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Tissue analysis</w:t>
            </w:r>
          </w:p>
        </w:tc>
        <w:tc>
          <w:tcPr>
            <w:tcW w:w="80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Year of randomization, age,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smoking habits, intervention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arm, exposure population,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blood  draw  visit</w:t>
            </w:r>
          </w:p>
        </w:tc>
        <w:tc>
          <w:tcPr>
            <w:tcW w:w="50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(smoker or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asbestos-exposed worker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CARET;  18,314</w:t>
            </w:r>
          </w:p>
        </w:tc>
      </w:tr>
      <w:tr w:rsidR="00B03D98" w:rsidRPr="00BA5760" w:rsidTr="00695710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pct"/>
            <w:vAlign w:val="center"/>
          </w:tcPr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Gill et al,</w:t>
            </w:r>
          </w:p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2009</w:t>
            </w:r>
          </w:p>
        </w:tc>
        <w:tc>
          <w:tcPr>
            <w:tcW w:w="291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Nested  case-control</w:t>
            </w:r>
          </w:p>
        </w:tc>
        <w:tc>
          <w:tcPr>
            <w:tcW w:w="43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USA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Multiethnic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45–75</w:t>
            </w:r>
          </w:p>
        </w:tc>
        <w:tc>
          <w:tcPr>
            <w:tcW w:w="31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3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450 cases;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936  controls</w:t>
            </w:r>
          </w:p>
        </w:tc>
        <w:tc>
          <w:tcPr>
            <w:tcW w:w="614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Prostate cancer incidence, Advanced prostate cancer incidence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Cancer registry</w:t>
            </w:r>
          </w:p>
        </w:tc>
        <w:tc>
          <w:tcPr>
            <w:tcW w:w="80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Geographic area, race, age at interview, date of blood collection, fasting condition,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BMI, family history of cancer,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educational  level</w:t>
            </w:r>
          </w:p>
        </w:tc>
        <w:tc>
          <w:tcPr>
            <w:tcW w:w="50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Hawaii–Los Angeles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MEC  Study;  215,251</w:t>
            </w:r>
          </w:p>
        </w:tc>
      </w:tr>
      <w:tr w:rsidR="00B03D98" w:rsidRPr="00BA5760" w:rsidTr="00695710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pct"/>
            <w:vAlign w:val="center"/>
          </w:tcPr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Brooks et al,</w:t>
            </w:r>
          </w:p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2001</w:t>
            </w:r>
          </w:p>
        </w:tc>
        <w:tc>
          <w:tcPr>
            <w:tcW w:w="291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Nested  case-control</w:t>
            </w:r>
          </w:p>
        </w:tc>
        <w:tc>
          <w:tcPr>
            <w:tcW w:w="43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USA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White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3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52 cases;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96  controls</w:t>
            </w:r>
          </w:p>
        </w:tc>
        <w:tc>
          <w:tcPr>
            <w:tcW w:w="614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Prostate cancer incidence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Tissue analysis</w:t>
            </w:r>
          </w:p>
        </w:tc>
        <w:tc>
          <w:tcPr>
            <w:tcW w:w="80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Year before diagnosis, age, BMI,</w:t>
            </w:r>
            <w:r w:rsidRPr="00BA5760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smoking habits,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alcohol  consumption</w:t>
            </w:r>
          </w:p>
        </w:tc>
        <w:tc>
          <w:tcPr>
            <w:tcW w:w="50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Baltimore Longitudinal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Study  of  Aging;  1555</w:t>
            </w:r>
          </w:p>
        </w:tc>
      </w:tr>
      <w:tr w:rsidR="00B03D98" w:rsidRPr="00BA5760" w:rsidTr="00695710">
        <w:trPr>
          <w:trHeight w:val="1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pct"/>
            <w:vAlign w:val="center"/>
          </w:tcPr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Allen et al,</w:t>
            </w:r>
          </w:p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2008</w:t>
            </w:r>
          </w:p>
        </w:tc>
        <w:tc>
          <w:tcPr>
            <w:tcW w:w="291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Nested  case-control</w:t>
            </w:r>
          </w:p>
        </w:tc>
        <w:tc>
          <w:tcPr>
            <w:tcW w:w="43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Europe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Not stated</w:t>
            </w:r>
          </w:p>
        </w:tc>
        <w:tc>
          <w:tcPr>
            <w:tcW w:w="31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43–76</w:t>
            </w:r>
          </w:p>
        </w:tc>
        <w:tc>
          <w:tcPr>
            <w:tcW w:w="31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3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959 cases;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1059  controls</w:t>
            </w:r>
          </w:p>
        </w:tc>
        <w:tc>
          <w:tcPr>
            <w:tcW w:w="614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Prostate cancer incidence, Advanced prostate cancer incidence, Low grade prostate cancer incidence, High grade prostate cancer incidence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Cancer registry, medical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records,  pathology</w:t>
            </w:r>
          </w:p>
        </w:tc>
        <w:tc>
          <w:tcPr>
            <w:tcW w:w="80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BMI, smoking status, alcohol intake,</w:t>
            </w:r>
            <w:r w:rsidRPr="00BA5760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physical activity, marital status,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educational  level</w:t>
            </w:r>
          </w:p>
        </w:tc>
        <w:tc>
          <w:tcPr>
            <w:tcW w:w="50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EPIC;  127,811</w:t>
            </w:r>
          </w:p>
        </w:tc>
      </w:tr>
      <w:tr w:rsidR="00B03D98" w:rsidRPr="00BA5760" w:rsidTr="00695710">
        <w:trPr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pct"/>
            <w:vAlign w:val="center"/>
          </w:tcPr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Peters et al,</w:t>
            </w:r>
          </w:p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2007</w:t>
            </w:r>
          </w:p>
        </w:tc>
        <w:tc>
          <w:tcPr>
            <w:tcW w:w="291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Nested  case-control</w:t>
            </w:r>
          </w:p>
        </w:tc>
        <w:tc>
          <w:tcPr>
            <w:tcW w:w="43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USA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Black and white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55-74</w:t>
            </w:r>
          </w:p>
        </w:tc>
        <w:tc>
          <w:tcPr>
            <w:tcW w:w="31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724 cases;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879  controls</w:t>
            </w:r>
          </w:p>
        </w:tc>
        <w:tc>
          <w:tcPr>
            <w:tcW w:w="614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Prostate cancer incidence, Advanced prostate cancer incidence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Self-reports, hospital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records,  death  certiﬁcates</w:t>
            </w:r>
          </w:p>
        </w:tc>
        <w:tc>
          <w:tcPr>
            <w:tcW w:w="80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Age,  time,  year  of  interview, study center</w:t>
            </w:r>
          </w:p>
        </w:tc>
        <w:tc>
          <w:tcPr>
            <w:tcW w:w="50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PLCO Cancer Screening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trial;  26,975</w:t>
            </w:r>
          </w:p>
        </w:tc>
      </w:tr>
      <w:tr w:rsidR="00B03D98" w:rsidRPr="00BA5760" w:rsidTr="00695710">
        <w:trPr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pct"/>
            <w:vAlign w:val="center"/>
          </w:tcPr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Nomura et al,</w:t>
            </w:r>
          </w:p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2000</w:t>
            </w:r>
          </w:p>
        </w:tc>
        <w:tc>
          <w:tcPr>
            <w:tcW w:w="291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Nested  case-control</w:t>
            </w:r>
          </w:p>
        </w:tc>
        <w:tc>
          <w:tcPr>
            <w:tcW w:w="43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USA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Japanese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44-85</w:t>
            </w:r>
          </w:p>
        </w:tc>
        <w:tc>
          <w:tcPr>
            <w:tcW w:w="31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12.4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249 cases;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249  controls</w:t>
            </w:r>
          </w:p>
        </w:tc>
        <w:tc>
          <w:tcPr>
            <w:tcW w:w="614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Prostate cancer incidence, Advanced prostate cancer incidence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Tissue  analysis</w:t>
            </w:r>
          </w:p>
        </w:tc>
        <w:tc>
          <w:tcPr>
            <w:tcW w:w="80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Smoking  habits,  age</w:t>
            </w:r>
          </w:p>
        </w:tc>
        <w:tc>
          <w:tcPr>
            <w:tcW w:w="50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Honolulu Heart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Program;  9345</w:t>
            </w:r>
          </w:p>
        </w:tc>
      </w:tr>
      <w:tr w:rsidR="00B03D98" w:rsidRPr="00BA5760" w:rsidTr="00695710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pct"/>
            <w:vAlign w:val="center"/>
          </w:tcPr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Vogt et al,</w:t>
            </w:r>
          </w:p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2003</w:t>
            </w:r>
          </w:p>
        </w:tc>
        <w:tc>
          <w:tcPr>
            <w:tcW w:w="291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Case-control</w:t>
            </w:r>
          </w:p>
        </w:tc>
        <w:tc>
          <w:tcPr>
            <w:tcW w:w="43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USA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Multiethnic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40-79</w:t>
            </w:r>
          </w:p>
        </w:tc>
        <w:tc>
          <w:tcPr>
            <w:tcW w:w="31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6.2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212 cases;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233  controls</w:t>
            </w:r>
          </w:p>
        </w:tc>
        <w:tc>
          <w:tcPr>
            <w:tcW w:w="614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Prostate cancer incidence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Histology</w:t>
            </w:r>
          </w:p>
        </w:tc>
        <w:tc>
          <w:tcPr>
            <w:tcW w:w="80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Age,  geographic  area,</w:t>
            </w:r>
            <w:r w:rsidRPr="00BA5760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ethnicity/race</w:t>
            </w:r>
          </w:p>
        </w:tc>
        <w:tc>
          <w:tcPr>
            <w:tcW w:w="50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USA (Georgia, Michigan,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New  Jersey),  1986–1989</w:t>
            </w:r>
          </w:p>
        </w:tc>
      </w:tr>
      <w:tr w:rsidR="00B03D98" w:rsidRPr="00BA5760" w:rsidTr="0069571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pct"/>
            <w:vAlign w:val="center"/>
          </w:tcPr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Harrell et al,</w:t>
            </w:r>
          </w:p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1995</w:t>
            </w:r>
          </w:p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91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Case-control</w:t>
            </w:r>
          </w:p>
        </w:tc>
        <w:tc>
          <w:tcPr>
            <w:tcW w:w="43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Sweden</w:t>
            </w:r>
          </w:p>
        </w:tc>
        <w:tc>
          <w:tcPr>
            <w:tcW w:w="418" w:type="pct"/>
            <w:vMerge w:val="restar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Not stated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7" w:type="pct"/>
            <w:vMerge w:val="restar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44-87</w:t>
            </w:r>
          </w:p>
        </w:tc>
        <w:tc>
          <w:tcPr>
            <w:tcW w:w="310" w:type="pct"/>
            <w:vMerge w:val="restar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8" w:type="pct"/>
            <w:vMerge w:val="restar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164 cases;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121  controls</w:t>
            </w:r>
          </w:p>
        </w:tc>
        <w:tc>
          <w:tcPr>
            <w:tcW w:w="614" w:type="pct"/>
            <w:vMerge w:val="restar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Prostate cancer incidence</w:t>
            </w:r>
          </w:p>
        </w:tc>
        <w:tc>
          <w:tcPr>
            <w:tcW w:w="418" w:type="pct"/>
            <w:vMerge w:val="restar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Histology</w:t>
            </w:r>
          </w:p>
        </w:tc>
        <w:tc>
          <w:tcPr>
            <w:tcW w:w="800" w:type="pct"/>
            <w:vMerge w:val="restar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Age</w:t>
            </w:r>
          </w:p>
        </w:tc>
        <w:tc>
          <w:tcPr>
            <w:tcW w:w="507" w:type="pct"/>
            <w:vMerge w:val="restar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Sweden 1987–1990</w:t>
            </w:r>
          </w:p>
        </w:tc>
      </w:tr>
      <w:tr w:rsidR="00B03D98" w:rsidRPr="00BA5760" w:rsidTr="00695710">
        <w:trPr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  <w:gridSpan w:val="3"/>
            <w:shd w:val="clear" w:color="auto" w:fill="E7E6E6" w:themeFill="background2"/>
            <w:vAlign w:val="center"/>
          </w:tcPr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Toenail selenium studies</w:t>
            </w:r>
          </w:p>
        </w:tc>
        <w:tc>
          <w:tcPr>
            <w:tcW w:w="418" w:type="pct"/>
            <w:vMerge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7" w:type="pct"/>
            <w:vMerge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8" w:type="pct"/>
            <w:vMerge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18" w:type="pct"/>
            <w:vMerge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00" w:type="pct"/>
            <w:vMerge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507" w:type="pct"/>
            <w:vMerge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03D98" w:rsidRPr="00BA5760" w:rsidTr="00695710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pct"/>
            <w:vAlign w:val="center"/>
          </w:tcPr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Milan et al,</w:t>
            </w:r>
          </w:p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2013</w:t>
            </w:r>
          </w:p>
        </w:tc>
        <w:tc>
          <w:tcPr>
            <w:tcW w:w="291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Cohort</w:t>
            </w:r>
          </w:p>
        </w:tc>
        <w:tc>
          <w:tcPr>
            <w:tcW w:w="43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Netherlands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Not stated</w:t>
            </w:r>
          </w:p>
        </w:tc>
        <w:tc>
          <w:tcPr>
            <w:tcW w:w="31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55-69</w:t>
            </w:r>
          </w:p>
        </w:tc>
        <w:tc>
          <w:tcPr>
            <w:tcW w:w="31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17.3</w:t>
            </w:r>
          </w:p>
        </w:tc>
        <w:tc>
          <w:tcPr>
            <w:tcW w:w="3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898 cases;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1176 controls</w:t>
            </w:r>
          </w:p>
        </w:tc>
        <w:tc>
          <w:tcPr>
            <w:tcW w:w="614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Prostate cancer incidence, Advanced prostate cancer incidence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Cancer Registry</w:t>
            </w:r>
          </w:p>
        </w:tc>
        <w:tc>
          <w:tcPr>
            <w:tcW w:w="80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no occupational physical activity, education level, body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mass index, history of diabetes, long-term use of nonsteroidal anti-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inflammatory drugs, black tea consumption, and intake of energy,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alcohol, calcium, catechin, lycopene, red meat, and vitamin</w:t>
            </w:r>
          </w:p>
        </w:tc>
        <w:tc>
          <w:tcPr>
            <w:tcW w:w="50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The Netherlands cohort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study;  58,279</w:t>
            </w:r>
          </w:p>
        </w:tc>
      </w:tr>
      <w:tr w:rsidR="00B03D98" w:rsidRPr="00BA5760" w:rsidTr="00695710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pct"/>
            <w:vAlign w:val="center"/>
          </w:tcPr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Outzen et al,</w:t>
            </w:r>
          </w:p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2020</w:t>
            </w:r>
          </w:p>
        </w:tc>
        <w:tc>
          <w:tcPr>
            <w:tcW w:w="291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nested  case-control</w:t>
            </w:r>
          </w:p>
        </w:tc>
        <w:tc>
          <w:tcPr>
            <w:tcW w:w="43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Denmark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White</w:t>
            </w:r>
          </w:p>
        </w:tc>
        <w:tc>
          <w:tcPr>
            <w:tcW w:w="31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50-65</w:t>
            </w:r>
          </w:p>
        </w:tc>
        <w:tc>
          <w:tcPr>
            <w:tcW w:w="31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3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1160 cases;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1160 controls</w:t>
            </w:r>
          </w:p>
        </w:tc>
        <w:tc>
          <w:tcPr>
            <w:tcW w:w="614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Prostate cancer incidence, Advanced prostate cancer incidence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Cancer Registry</w:t>
            </w:r>
          </w:p>
        </w:tc>
        <w:tc>
          <w:tcPr>
            <w:tcW w:w="80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Body Mass Index, education, smoking status and participation in sport</w:t>
            </w:r>
          </w:p>
        </w:tc>
        <w:tc>
          <w:tcPr>
            <w:tcW w:w="50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Denmark 1993-1997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27178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03D98" w:rsidRPr="00BA5760" w:rsidTr="00695710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pct"/>
            <w:vAlign w:val="center"/>
          </w:tcPr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Ghadirian et al,</w:t>
            </w:r>
          </w:p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2000</w:t>
            </w:r>
          </w:p>
        </w:tc>
        <w:tc>
          <w:tcPr>
            <w:tcW w:w="291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Case-control</w:t>
            </w:r>
          </w:p>
        </w:tc>
        <w:tc>
          <w:tcPr>
            <w:tcW w:w="43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Canada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Not stated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35-84</w:t>
            </w:r>
          </w:p>
        </w:tc>
        <w:tc>
          <w:tcPr>
            <w:tcW w:w="31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83 cases;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82  controls</w:t>
            </w:r>
          </w:p>
        </w:tc>
        <w:tc>
          <w:tcPr>
            <w:tcW w:w="614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Prostate cancer incidence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Histology</w:t>
            </w:r>
          </w:p>
        </w:tc>
        <w:tc>
          <w:tcPr>
            <w:tcW w:w="80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Age,  smoking  habits</w:t>
            </w:r>
          </w:p>
        </w:tc>
        <w:tc>
          <w:tcPr>
            <w:tcW w:w="50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Canada,  1989–1993</w:t>
            </w:r>
          </w:p>
        </w:tc>
      </w:tr>
      <w:tr w:rsidR="00B03D98" w:rsidRPr="00BA5760" w:rsidTr="00695710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pct"/>
            <w:vAlign w:val="center"/>
          </w:tcPr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Helzlsouer et al,</w:t>
            </w:r>
          </w:p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2000</w:t>
            </w:r>
          </w:p>
        </w:tc>
        <w:tc>
          <w:tcPr>
            <w:tcW w:w="291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Nested  case-control</w:t>
            </w:r>
          </w:p>
        </w:tc>
        <w:tc>
          <w:tcPr>
            <w:tcW w:w="43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USA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White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117 cases;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233  controls</w:t>
            </w:r>
          </w:p>
        </w:tc>
        <w:tc>
          <w:tcPr>
            <w:tcW w:w="614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Prostate cancer incidence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Tissue analysis</w:t>
            </w:r>
          </w:p>
        </w:tc>
        <w:tc>
          <w:tcPr>
            <w:tcW w:w="80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BMI, educational level,</w:t>
            </w:r>
            <w:r w:rsidRPr="00BA5760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hours  since  last  meal</w:t>
            </w:r>
          </w:p>
        </w:tc>
        <w:tc>
          <w:tcPr>
            <w:tcW w:w="50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CLUE  II  study;  10,456</w:t>
            </w:r>
          </w:p>
        </w:tc>
      </w:tr>
      <w:tr w:rsidR="00B03D98" w:rsidRPr="00BA5760" w:rsidTr="00695710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pct"/>
            <w:vAlign w:val="center"/>
          </w:tcPr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Van den Brandt et al,</w:t>
            </w:r>
          </w:p>
          <w:p w:rsidR="00B03D98" w:rsidRPr="00BA5760" w:rsidRDefault="00B03D98" w:rsidP="0069571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2003</w:t>
            </w:r>
          </w:p>
        </w:tc>
        <w:tc>
          <w:tcPr>
            <w:tcW w:w="291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Nested  case-control</w:t>
            </w:r>
          </w:p>
        </w:tc>
        <w:tc>
          <w:tcPr>
            <w:tcW w:w="43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Netherlands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Not stated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55–69</w:t>
            </w:r>
          </w:p>
        </w:tc>
        <w:tc>
          <w:tcPr>
            <w:tcW w:w="31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6.3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300 cases;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1210  controls</w:t>
            </w:r>
          </w:p>
        </w:tc>
        <w:tc>
          <w:tcPr>
            <w:tcW w:w="614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Prostate cancer incidence,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Advanced prostate cancer incidence</w:t>
            </w:r>
          </w:p>
        </w:tc>
        <w:tc>
          <w:tcPr>
            <w:tcW w:w="418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Tissue analysis</w:t>
            </w:r>
          </w:p>
        </w:tc>
        <w:tc>
          <w:tcPr>
            <w:tcW w:w="800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Age, family history of speciﬁc cancer, smoking habits,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educational  level</w:t>
            </w:r>
          </w:p>
        </w:tc>
        <w:tc>
          <w:tcPr>
            <w:tcW w:w="507" w:type="pct"/>
            <w:vAlign w:val="center"/>
          </w:tcPr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The Netherlands cohort</w:t>
            </w:r>
          </w:p>
          <w:p w:rsidR="00B03D98" w:rsidRPr="00BA5760" w:rsidRDefault="00B03D98" w:rsidP="00695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A5760">
              <w:rPr>
                <w:rFonts w:asciiTheme="majorBidi" w:hAnsiTheme="majorBidi" w:cstheme="majorBidi"/>
                <w:sz w:val="16"/>
                <w:szCs w:val="16"/>
              </w:rPr>
              <w:t>study;  58,279</w:t>
            </w:r>
          </w:p>
        </w:tc>
      </w:tr>
    </w:tbl>
    <w:p w:rsidR="00B03D98" w:rsidRDefault="00B03D98" w:rsidP="00B03D98"/>
    <w:p w:rsidR="00B03D98" w:rsidRDefault="00B03D98" w:rsidP="00B03D98"/>
    <w:p w:rsidR="00B03D98" w:rsidRDefault="00B03D98" w:rsidP="00B03D98"/>
    <w:p w:rsidR="00B03D98" w:rsidRDefault="00B03D98" w:rsidP="00B03D98"/>
    <w:p w:rsidR="00B03D98" w:rsidRDefault="00B03D98" w:rsidP="00B03D98"/>
    <w:p w:rsidR="00B03D98" w:rsidRDefault="00B03D98" w:rsidP="00B03D98"/>
    <w:p w:rsidR="00B03D98" w:rsidRDefault="00B03D98" w:rsidP="00B03D98">
      <w:pPr>
        <w:rPr>
          <w:rtl/>
        </w:rPr>
      </w:pPr>
    </w:p>
    <w:p w:rsidR="00C57627" w:rsidRDefault="00C57627" w:rsidP="00B03D98">
      <w:pPr>
        <w:rPr>
          <w:rtl/>
        </w:rPr>
      </w:pPr>
    </w:p>
    <w:p w:rsidR="00C57627" w:rsidRDefault="00C57627" w:rsidP="00B03D98">
      <w:pPr>
        <w:rPr>
          <w:rtl/>
        </w:rPr>
      </w:pPr>
      <w:bookmarkStart w:id="0" w:name="_GoBack"/>
      <w:bookmarkEnd w:id="0"/>
    </w:p>
    <w:sectPr w:rsidR="00C57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67545"/>
    <w:multiLevelType w:val="multilevel"/>
    <w:tmpl w:val="3D92622A"/>
    <w:lvl w:ilvl="0"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58381409"/>
    <w:multiLevelType w:val="multilevel"/>
    <w:tmpl w:val="9AE015C0"/>
    <w:lvl w:ilvl="0"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98"/>
    <w:rsid w:val="000A2411"/>
    <w:rsid w:val="00342AA8"/>
    <w:rsid w:val="00500892"/>
    <w:rsid w:val="005C774F"/>
    <w:rsid w:val="005E788E"/>
    <w:rsid w:val="006006BA"/>
    <w:rsid w:val="009F3441"/>
    <w:rsid w:val="00B03D98"/>
    <w:rsid w:val="00C57627"/>
    <w:rsid w:val="00DF1307"/>
    <w:rsid w:val="00EA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6648C1BD"/>
  <w15:chartTrackingRefBased/>
  <w15:docId w15:val="{8DA14AD5-D65C-477E-B01C-7DCF0C14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3D98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B03D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-Accent3">
    <w:name w:val="List Table 6 Colorful Accent 3"/>
    <w:basedOn w:val="TableNormal"/>
    <w:uiPriority w:val="51"/>
    <w:rsid w:val="00C5762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4145</Characters>
  <Application>Microsoft Office Word</Application>
  <DocSecurity>0</DocSecurity>
  <Lines>690</Lines>
  <Paragraphs>411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dr.moradi</dc:creator>
  <cp:keywords/>
  <dc:description/>
  <cp:lastModifiedBy>Nona-Parsa-Parinaz</cp:lastModifiedBy>
  <cp:revision>4</cp:revision>
  <dcterms:created xsi:type="dcterms:W3CDTF">2024-11-30T06:17:00Z</dcterms:created>
  <dcterms:modified xsi:type="dcterms:W3CDTF">2025-09-26T16:21:00Z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3b84732f-4b7b-4f34-9694-26e46a37db9c</vt:lpwstr>
  </property>
</Properties>
</file>