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1C037" w14:textId="77777777" w:rsidR="00540629" w:rsidRPr="0040663E" w:rsidRDefault="00540629" w:rsidP="00540629">
      <w:pPr>
        <w:spacing w:line="360" w:lineRule="auto"/>
        <w:jc w:val="center"/>
        <w:rPr>
          <w:rFonts w:ascii="Calibri" w:hAnsi="Calibri" w:cs="Calibri"/>
          <w:b/>
          <w:bCs/>
          <w:sz w:val="36"/>
          <w:szCs w:val="36"/>
        </w:rPr>
      </w:pPr>
      <w:r w:rsidRPr="0040663E">
        <w:rPr>
          <w:rFonts w:ascii="Calibri" w:hAnsi="Calibri" w:cs="Calibri"/>
          <w:b/>
          <w:bCs/>
          <w:sz w:val="36"/>
          <w:szCs w:val="36"/>
        </w:rPr>
        <w:t>Supplementary Information</w:t>
      </w:r>
    </w:p>
    <w:p w14:paraId="69C98A1A" w14:textId="389215C6" w:rsidR="002C432A" w:rsidRPr="0040663E" w:rsidRDefault="002C432A" w:rsidP="002C432A">
      <w:pPr>
        <w:pStyle w:val="NormalWeb"/>
        <w:spacing w:after="0" w:line="276" w:lineRule="auto"/>
        <w:jc w:val="both"/>
        <w:rPr>
          <w:rFonts w:asciiTheme="minorHAnsi" w:hAnsiTheme="minorHAnsi" w:cstheme="minorHAnsi"/>
          <w:b/>
          <w:bCs/>
          <w:color w:val="000000" w:themeColor="text1"/>
        </w:rPr>
      </w:pPr>
      <w:r w:rsidRPr="0040663E">
        <w:rPr>
          <w:rFonts w:asciiTheme="minorHAnsi" w:hAnsiTheme="minorHAnsi" w:cstheme="minorHAnsi"/>
          <w:b/>
          <w:bCs/>
          <w:color w:val="000000" w:themeColor="text1"/>
        </w:rPr>
        <w:t xml:space="preserve">Materials </w:t>
      </w:r>
      <w:r w:rsidR="00206124" w:rsidRPr="0040663E">
        <w:rPr>
          <w:rFonts w:asciiTheme="minorHAnsi" w:hAnsiTheme="minorHAnsi" w:cstheme="minorHAnsi"/>
          <w:b/>
          <w:bCs/>
          <w:color w:val="000000" w:themeColor="text1"/>
        </w:rPr>
        <w:t>a</w:t>
      </w:r>
      <w:r w:rsidRPr="0040663E">
        <w:rPr>
          <w:rFonts w:asciiTheme="minorHAnsi" w:hAnsiTheme="minorHAnsi" w:cstheme="minorHAnsi"/>
          <w:b/>
          <w:bCs/>
          <w:color w:val="000000" w:themeColor="text1"/>
        </w:rPr>
        <w:t>nd Methods</w:t>
      </w:r>
    </w:p>
    <w:p w14:paraId="2E91270C" w14:textId="7F8D4629" w:rsidR="005531C4" w:rsidRPr="0040663E" w:rsidRDefault="005531C4" w:rsidP="002E0727">
      <w:pPr>
        <w:pStyle w:val="NormalWeb"/>
        <w:spacing w:after="0" w:line="276" w:lineRule="auto"/>
        <w:jc w:val="both"/>
        <w:rPr>
          <w:rFonts w:asciiTheme="minorHAnsi" w:hAnsiTheme="minorHAnsi" w:cstheme="minorHAnsi"/>
          <w:color w:val="000000" w:themeColor="text1"/>
        </w:rPr>
      </w:pPr>
      <w:r w:rsidRPr="0040663E">
        <w:rPr>
          <w:rFonts w:asciiTheme="minorHAnsi" w:hAnsiTheme="minorHAnsi" w:cstheme="minorHAnsi"/>
          <w:b/>
          <w:color w:val="000000" w:themeColor="text1"/>
        </w:rPr>
        <w:t>Reagents and kits</w:t>
      </w:r>
    </w:p>
    <w:p w14:paraId="1193D0E7" w14:textId="0CBF208A" w:rsidR="005531C4" w:rsidRPr="0040663E" w:rsidRDefault="005531C4" w:rsidP="005531C4">
      <w:pPr>
        <w:spacing w:before="240" w:line="276" w:lineRule="auto"/>
        <w:jc w:val="both"/>
        <w:rPr>
          <w:rFonts w:eastAsia="Calibri" w:cstheme="minorHAnsi"/>
          <w:color w:val="000000" w:themeColor="text1"/>
          <w:sz w:val="24"/>
          <w:szCs w:val="24"/>
        </w:rPr>
      </w:pPr>
      <w:r w:rsidRPr="0040663E">
        <w:rPr>
          <w:rFonts w:eastAsia="Calibri" w:cstheme="minorHAnsi"/>
          <w:color w:val="000000" w:themeColor="text1"/>
          <w:sz w:val="24"/>
          <w:szCs w:val="24"/>
        </w:rPr>
        <w:t xml:space="preserve">All reagents utilized in this study were of the highest quality available. Lymphocytes were isolated employing HiSep™ (HiMedia Laboratories, Mumbai, MH, India) along with 1xPBS from Cell Signaling Technology, Danvers, MA, USA. Whole-cell DNA was extracted using the PureLink Genomic DNA Mini Kit from Invitrogen, a Life Technologies-Thermo Fisher Scientific, USA subsidiary. The isolation of total RNA was performed using the TRIzol® Reagent from Life Technologies - Thermo Fisher Scientific, Waltham, MA, USA. The CellROX® Deep Red Flow Cytometry assay kit from Thermo Fisher Scientific, Waltham, MA, USA, was employed to measure oxidative stress. Mitochondrial fission and fusion, signaling, and survival genes were quantified using the Luna® Universal One-Step RT-qPCR Kit from New England Biolabs (Ipswich, MA, USA) via </w:t>
      </w:r>
      <w:r w:rsidR="00D319B9" w:rsidRPr="0040663E">
        <w:rPr>
          <w:rFonts w:eastAsia="Calibri" w:cstheme="minorHAnsi"/>
          <w:color w:val="000000" w:themeColor="text1"/>
          <w:sz w:val="24"/>
          <w:szCs w:val="24"/>
        </w:rPr>
        <w:t>RT-</w:t>
      </w:r>
      <w:r w:rsidRPr="0040663E">
        <w:rPr>
          <w:rFonts w:eastAsia="Calibri" w:cstheme="minorHAnsi"/>
          <w:color w:val="000000" w:themeColor="text1"/>
          <w:sz w:val="24"/>
          <w:szCs w:val="24"/>
        </w:rPr>
        <w:t xml:space="preserve">qPCR. The Luna® Universal qPCR Master Mix from New England Biolabs (Ipswich, MA, USA) was utilized to assess mtDNA methylation and DNMT1 levels and the relative expression of mitomiRs and their target genes. Polyadenylation was performed using the </w:t>
      </w:r>
      <w:r w:rsidRPr="0040663E">
        <w:rPr>
          <w:rFonts w:cstheme="minorHAnsi"/>
          <w:color w:val="000000" w:themeColor="text1"/>
          <w:sz w:val="24"/>
          <w:szCs w:val="24"/>
        </w:rPr>
        <w:t xml:space="preserve">Poly-A tailing kit (Invitrogen–Thermofisher Scientific, Greenville, NC, USA). </w:t>
      </w:r>
      <w:r w:rsidRPr="0040663E">
        <w:rPr>
          <w:rFonts w:eastAsia="Calibri" w:cstheme="minorHAnsi"/>
          <w:color w:val="000000" w:themeColor="text1"/>
          <w:sz w:val="24"/>
          <w:szCs w:val="24"/>
        </w:rPr>
        <w:t>For the evaluation of mitochondrial gene expression through conventional PCR, Taq 2X Master Mix from New England Biolabs, Ipswich, MA, USA, was employed. The examination of mtDNA methylation was performed utilizing BamHI restriction enzymes sourced from Takara Bio Inc., located in Shiga, Japan, alongside the EpiJET Bisulfite Conversion Kit provided by Thermo Fisher Scientific in Waltham, MA, USA. Furthermore, the profiling of mitomiRs was done using the Poly(A) Tailing kit and the PureLink miRNA isolation kit from Invitrogen-Thermo Fisher Scientific, which is also based in Waltham, MA, USA. For gel electrophoresis, SeaKem® LE Agarose from Lonza in Basel, Switzerland, was employed, in conjunction with 50× TAE and 6X gel loading buffer from HiMedia Laboratories in Mumbai, Maharashtra, India. Additionally, SYBR® Safe DNA gel stain from Invitrogen-Thermo Fisher Scientific in Waltham, MA, USA, as well as 100 bp and 50 bp DNA ladders from HiMedia Laboratories Pvt. Ltd. in Mumbai, India, and Promega Corporation in Madison, WI, USA, respectively, were utilized.</w:t>
      </w:r>
    </w:p>
    <w:p w14:paraId="295D2504" w14:textId="55290B75" w:rsidR="009E4170" w:rsidRPr="0040663E" w:rsidRDefault="009E4170" w:rsidP="00F10619">
      <w:pPr>
        <w:pStyle w:val="NormalWeb"/>
        <w:spacing w:line="276" w:lineRule="auto"/>
        <w:jc w:val="both"/>
        <w:rPr>
          <w:rFonts w:asciiTheme="minorHAnsi" w:hAnsiTheme="minorHAnsi" w:cstheme="minorHAnsi"/>
          <w:color w:val="000000" w:themeColor="text1"/>
        </w:rPr>
      </w:pPr>
      <w:r w:rsidRPr="0040663E">
        <w:rPr>
          <w:rFonts w:asciiTheme="minorHAnsi" w:hAnsiTheme="minorHAnsi" w:cstheme="minorHAnsi"/>
          <w:b/>
          <w:bCs/>
          <w:color w:val="000000" w:themeColor="text1"/>
        </w:rPr>
        <w:t>Exposure assessment</w:t>
      </w:r>
    </w:p>
    <w:p w14:paraId="7561DD6F" w14:textId="1DDAEF9F" w:rsidR="009E4170" w:rsidRPr="0040663E" w:rsidRDefault="009E4170" w:rsidP="00F10619">
      <w:pPr>
        <w:pStyle w:val="NormalWeb"/>
        <w:spacing w:after="0" w:line="276" w:lineRule="auto"/>
        <w:jc w:val="both"/>
        <w:rPr>
          <w:rFonts w:asciiTheme="minorHAnsi" w:hAnsiTheme="minorHAnsi" w:cstheme="minorHAnsi"/>
          <w:color w:val="000000" w:themeColor="text1"/>
        </w:rPr>
      </w:pPr>
      <w:r w:rsidRPr="0040663E">
        <w:rPr>
          <w:rFonts w:asciiTheme="minorHAnsi" w:hAnsiTheme="minorHAnsi" w:cstheme="minorHAnsi"/>
          <w:color w:val="000000" w:themeColor="text1"/>
        </w:rPr>
        <w:t>This study focused on indoor residential concentrations of particulate matter, specifically PM</w:t>
      </w:r>
      <w:r w:rsidRPr="0040663E">
        <w:rPr>
          <w:rFonts w:asciiTheme="minorHAnsi" w:hAnsiTheme="minorHAnsi" w:cstheme="minorHAnsi"/>
          <w:color w:val="000000" w:themeColor="text1"/>
          <w:vertAlign w:val="subscript"/>
        </w:rPr>
        <w:t xml:space="preserve">2.5 </w:t>
      </w:r>
      <w:r w:rsidRPr="0040663E">
        <w:rPr>
          <w:rFonts w:asciiTheme="minorHAnsi" w:hAnsiTheme="minorHAnsi" w:cstheme="minorHAnsi"/>
          <w:color w:val="000000" w:themeColor="text1"/>
        </w:rPr>
        <w:t>and black carbon. The annual average PM</w:t>
      </w:r>
      <w:r w:rsidRPr="0040663E">
        <w:rPr>
          <w:rFonts w:asciiTheme="minorHAnsi" w:hAnsiTheme="minorHAnsi" w:cstheme="minorHAnsi"/>
          <w:color w:val="000000" w:themeColor="text1"/>
          <w:vertAlign w:val="subscript"/>
        </w:rPr>
        <w:t xml:space="preserve">2.5 </w:t>
      </w:r>
      <w:r w:rsidRPr="0040663E">
        <w:rPr>
          <w:rFonts w:asciiTheme="minorHAnsi" w:hAnsiTheme="minorHAnsi" w:cstheme="minorHAnsi"/>
          <w:color w:val="000000" w:themeColor="text1"/>
        </w:rPr>
        <w:t>was measured in the individual’s residential city [</w:t>
      </w:r>
      <w:r w:rsidR="00A30704" w:rsidRPr="0040663E">
        <w:rPr>
          <w:rFonts w:asciiTheme="minorHAnsi" w:hAnsiTheme="minorHAnsi" w:cstheme="minorHAnsi"/>
          <w:color w:val="000000" w:themeColor="text1"/>
        </w:rPr>
        <w:t>1</w:t>
      </w:r>
      <w:r w:rsidRPr="0040663E">
        <w:rPr>
          <w:rFonts w:asciiTheme="minorHAnsi" w:hAnsiTheme="minorHAnsi" w:cstheme="minorHAnsi"/>
          <w:color w:val="000000" w:themeColor="text1"/>
        </w:rPr>
        <w:t>]. Low-cost air quality monitors were deployed in selected homes, providing data on PM</w:t>
      </w:r>
      <w:r w:rsidRPr="0040663E">
        <w:rPr>
          <w:rFonts w:asciiTheme="minorHAnsi" w:hAnsiTheme="minorHAnsi" w:cstheme="minorHAnsi"/>
          <w:color w:val="000000" w:themeColor="text1"/>
          <w:vertAlign w:val="subscript"/>
        </w:rPr>
        <w:t xml:space="preserve">2.5 </w:t>
      </w:r>
      <w:r w:rsidRPr="0040663E">
        <w:rPr>
          <w:rFonts w:asciiTheme="minorHAnsi" w:hAnsiTheme="minorHAnsi" w:cstheme="minorHAnsi"/>
          <w:color w:val="000000" w:themeColor="text1"/>
        </w:rPr>
        <w:t xml:space="preserve">and black carbon levels for estimation. Alongside air quality monitoring, we collected participants' health data, detailed in Table 1. Moreover, Pearson correlation has been done with respect to PM, age, and total exposure. In our study, we </w:t>
      </w:r>
      <w:r w:rsidRPr="0040663E">
        <w:rPr>
          <w:rFonts w:asciiTheme="minorHAnsi" w:hAnsiTheme="minorHAnsi" w:cstheme="minorHAnsi"/>
          <w:color w:val="000000" w:themeColor="text1"/>
        </w:rPr>
        <w:lastRenderedPageBreak/>
        <w:t>harnessed the power of R to explore the relationships between age, PM</w:t>
      </w:r>
      <w:r w:rsidRPr="0040663E">
        <w:rPr>
          <w:rFonts w:asciiTheme="minorHAnsi" w:hAnsiTheme="minorHAnsi" w:cstheme="minorHAnsi"/>
          <w:color w:val="000000" w:themeColor="text1"/>
          <w:vertAlign w:val="subscript"/>
        </w:rPr>
        <w:t xml:space="preserve">2.5 </w:t>
      </w:r>
      <w:r w:rsidRPr="0040663E">
        <w:rPr>
          <w:rFonts w:asciiTheme="minorHAnsi" w:hAnsiTheme="minorHAnsi" w:cstheme="minorHAnsi"/>
          <w:color w:val="000000" w:themeColor="text1"/>
        </w:rPr>
        <w:t>concentration in selected cities, and total exposure. We calculated total exposure by considering PM</w:t>
      </w:r>
      <w:r w:rsidRPr="0040663E">
        <w:rPr>
          <w:rFonts w:asciiTheme="minorHAnsi" w:hAnsiTheme="minorHAnsi" w:cstheme="minorHAnsi"/>
          <w:color w:val="000000" w:themeColor="text1"/>
          <w:vertAlign w:val="subscript"/>
        </w:rPr>
        <w:t xml:space="preserve">2.5 </w:t>
      </w:r>
      <w:r w:rsidRPr="0040663E">
        <w:rPr>
          <w:rFonts w:asciiTheme="minorHAnsi" w:hAnsiTheme="minorHAnsi" w:cstheme="minorHAnsi"/>
          <w:color w:val="000000" w:themeColor="text1"/>
        </w:rPr>
        <w:t>concentration, length of exposure, and age. The data from our rigorous analysis served as the foundation for our subsequent exploration. Leveraging the Pearson correlation coefficients using R's cor() function, we examined the strength and direction of these key variables between age (AG), particulate matter (PM) levels, and total exposure (TE) of the women exposed to the household air pollution</w:t>
      </w:r>
      <w:r w:rsidR="002E31F5" w:rsidRPr="0040663E">
        <w:rPr>
          <w:rFonts w:asciiTheme="minorHAnsi" w:hAnsiTheme="minorHAnsi" w:cstheme="minorHAnsi"/>
          <w:color w:val="000000" w:themeColor="text1"/>
        </w:rPr>
        <w:t xml:space="preserve"> [</w:t>
      </w:r>
      <w:r w:rsidR="00A30704" w:rsidRPr="0040663E">
        <w:rPr>
          <w:rFonts w:asciiTheme="minorHAnsi" w:hAnsiTheme="minorHAnsi" w:cstheme="minorHAnsi"/>
          <w:color w:val="000000" w:themeColor="text1"/>
        </w:rPr>
        <w:t>10</w:t>
      </w:r>
      <w:r w:rsidR="002E31F5" w:rsidRPr="0040663E">
        <w:rPr>
          <w:rFonts w:asciiTheme="minorHAnsi" w:hAnsiTheme="minorHAnsi" w:cstheme="minorHAnsi"/>
          <w:color w:val="000000" w:themeColor="text1"/>
        </w:rPr>
        <w:t>]</w:t>
      </w:r>
      <w:r w:rsidRPr="0040663E">
        <w:rPr>
          <w:rFonts w:asciiTheme="minorHAnsi" w:hAnsiTheme="minorHAnsi" w:cstheme="minorHAnsi"/>
          <w:color w:val="000000" w:themeColor="text1"/>
        </w:rPr>
        <w:t>.</w:t>
      </w:r>
    </w:p>
    <w:p w14:paraId="4678DEC0" w14:textId="66038248" w:rsidR="009E4170" w:rsidRPr="0040663E" w:rsidRDefault="009E4170" w:rsidP="00F10619">
      <w:pPr>
        <w:pStyle w:val="NormalWeb"/>
        <w:spacing w:after="0" w:line="276" w:lineRule="auto"/>
        <w:jc w:val="both"/>
        <w:rPr>
          <w:rFonts w:asciiTheme="minorHAnsi" w:hAnsiTheme="minorHAnsi" w:cstheme="minorHAnsi"/>
          <w:color w:val="000000" w:themeColor="text1"/>
        </w:rPr>
      </w:pPr>
      <w:r w:rsidRPr="0040663E">
        <w:rPr>
          <w:rFonts w:asciiTheme="minorHAnsi" w:hAnsiTheme="minorHAnsi" w:cstheme="minorHAnsi"/>
          <w:b/>
          <w:bCs/>
          <w:color w:val="000000" w:themeColor="text1"/>
        </w:rPr>
        <w:t>Analysis of oxidative DNA damage</w:t>
      </w:r>
    </w:p>
    <w:p w14:paraId="260651E1" w14:textId="48BA9C73" w:rsidR="009E4170" w:rsidRPr="0040663E" w:rsidRDefault="009E4170" w:rsidP="00F10619">
      <w:pPr>
        <w:pStyle w:val="NormalWeb"/>
        <w:spacing w:after="0" w:line="276" w:lineRule="auto"/>
        <w:jc w:val="both"/>
        <w:rPr>
          <w:rFonts w:asciiTheme="minorHAnsi" w:hAnsiTheme="minorHAnsi" w:cstheme="minorHAnsi"/>
          <w:color w:val="000000" w:themeColor="text1"/>
        </w:rPr>
      </w:pPr>
      <w:r w:rsidRPr="0040663E">
        <w:rPr>
          <w:rFonts w:asciiTheme="minorHAnsi" w:hAnsiTheme="minorHAnsi" w:cstheme="minorHAnsi"/>
          <w:color w:val="000000" w:themeColor="text1"/>
        </w:rPr>
        <w:t>Oxidative damage was assessed by analyzing oxidized purine bases, especially deoxyguanosine, using the formamidopyrimidine glycosylase (FPG) digestion technique. Increased oxidized purine nucleotides indicated oxidative damage in mtDNA. Additionally, intracellular oxygen radicals, specifically reactive oxygen species (ROS), were measured by fluorescence levels of 20,70-dichlorofluorescin (DCF) through CM-H2DCFDA labeling, evaluated with quantitative RT-qPCR (Insta Q-96™, HiMedia Laboratories, Mumbai, MH, India) [</w:t>
      </w:r>
      <w:r w:rsidR="00A30704" w:rsidRPr="0040663E">
        <w:rPr>
          <w:rFonts w:asciiTheme="minorHAnsi" w:hAnsiTheme="minorHAnsi" w:cstheme="minorHAnsi"/>
          <w:color w:val="000000" w:themeColor="text1"/>
        </w:rPr>
        <w:t>2</w:t>
      </w:r>
      <w:r w:rsidRPr="0040663E">
        <w:rPr>
          <w:rFonts w:asciiTheme="minorHAnsi" w:hAnsiTheme="minorHAnsi" w:cstheme="minorHAnsi"/>
          <w:color w:val="000000" w:themeColor="text1"/>
        </w:rPr>
        <w:t xml:space="preserve">]. </w:t>
      </w:r>
    </w:p>
    <w:p w14:paraId="55E68180" w14:textId="60F1E66D" w:rsidR="009E4170" w:rsidRPr="0040663E" w:rsidRDefault="009E4170" w:rsidP="00F10619">
      <w:pPr>
        <w:pStyle w:val="NormalWeb"/>
        <w:spacing w:after="0" w:line="276" w:lineRule="auto"/>
        <w:jc w:val="both"/>
        <w:rPr>
          <w:rFonts w:asciiTheme="minorHAnsi" w:hAnsiTheme="minorHAnsi" w:cstheme="minorHAnsi"/>
          <w:b/>
          <w:bCs/>
          <w:color w:val="000000" w:themeColor="text1"/>
        </w:rPr>
      </w:pPr>
      <w:r w:rsidRPr="0040663E">
        <w:rPr>
          <w:rFonts w:asciiTheme="minorHAnsi" w:hAnsiTheme="minorHAnsi" w:cstheme="minorHAnsi"/>
          <w:color w:val="000000" w:themeColor="text1"/>
        </w:rPr>
        <w:t xml:space="preserve"> </w:t>
      </w:r>
      <w:r w:rsidRPr="0040663E">
        <w:rPr>
          <w:rFonts w:asciiTheme="minorHAnsi" w:hAnsiTheme="minorHAnsi" w:cstheme="minorHAnsi"/>
          <w:b/>
          <w:bCs/>
          <w:color w:val="000000" w:themeColor="text1"/>
        </w:rPr>
        <w:t>Mitochondrial epigenetic alterations in breast cancer</w:t>
      </w:r>
    </w:p>
    <w:p w14:paraId="0702F0CF" w14:textId="32F9F861" w:rsidR="009E4170" w:rsidRPr="0040663E" w:rsidRDefault="009E4170" w:rsidP="00F10619">
      <w:pPr>
        <w:spacing w:before="240" w:line="276" w:lineRule="auto"/>
        <w:jc w:val="both"/>
        <w:rPr>
          <w:rFonts w:cstheme="minorHAnsi"/>
          <w:bCs/>
          <w:color w:val="000000" w:themeColor="text1"/>
          <w:sz w:val="24"/>
          <w:szCs w:val="24"/>
        </w:rPr>
      </w:pPr>
      <w:r w:rsidRPr="0040663E">
        <w:rPr>
          <w:rFonts w:cstheme="minorHAnsi"/>
          <w:bCs/>
          <w:color w:val="000000" w:themeColor="text1"/>
          <w:sz w:val="24"/>
          <w:szCs w:val="24"/>
        </w:rPr>
        <w:t>DNA, RNA, miRNA, and protein were extracted to investigate mitochondrial dysfunction. Expression of mitochondrial fission/fusion genes (Drp1, Fis1, Mff, MFN1, MFN2, OPA1), ISR-related genes (DELE1, HRI, OMA1), and repair genes (POLG, OGG, APE) was analyzed. mtDNA methylation in the D-loop, 12S, cytochrome B, and 16S rRNA regions was assessed via real-time PCR. Ct values were recorded, and fold changes calculated using the 2^−ΔΔCt method with an internal control. [</w:t>
      </w:r>
      <w:r w:rsidR="00A30704" w:rsidRPr="0040663E">
        <w:rPr>
          <w:rFonts w:cstheme="minorHAnsi"/>
          <w:bCs/>
          <w:color w:val="000000" w:themeColor="text1"/>
          <w:sz w:val="24"/>
          <w:szCs w:val="24"/>
        </w:rPr>
        <w:t>3</w:t>
      </w:r>
      <w:r w:rsidRPr="0040663E">
        <w:rPr>
          <w:rFonts w:cstheme="minorHAnsi"/>
          <w:bCs/>
          <w:color w:val="000000" w:themeColor="text1"/>
          <w:sz w:val="24"/>
          <w:szCs w:val="24"/>
        </w:rPr>
        <w:t>].</w:t>
      </w:r>
      <w:r w:rsidRPr="0040663E" w:rsidDel="00F45BE4">
        <w:rPr>
          <w:rFonts w:cstheme="minorHAnsi"/>
          <w:bCs/>
          <w:color w:val="000000" w:themeColor="text1"/>
          <w:sz w:val="24"/>
          <w:szCs w:val="24"/>
        </w:rPr>
        <w:t xml:space="preserve"> </w:t>
      </w:r>
    </w:p>
    <w:p w14:paraId="16DCD87E" w14:textId="48864474" w:rsidR="009E4170" w:rsidRPr="0040663E" w:rsidRDefault="009E4170" w:rsidP="00F10619">
      <w:pPr>
        <w:spacing w:before="240" w:line="276" w:lineRule="auto"/>
        <w:jc w:val="both"/>
        <w:rPr>
          <w:rFonts w:cstheme="minorHAnsi"/>
          <w:b/>
          <w:bCs/>
          <w:color w:val="000000" w:themeColor="text1"/>
          <w:sz w:val="24"/>
          <w:szCs w:val="24"/>
        </w:rPr>
      </w:pPr>
      <w:r w:rsidRPr="0040663E">
        <w:rPr>
          <w:rFonts w:cstheme="minorHAnsi"/>
          <w:b/>
          <w:bCs/>
          <w:color w:val="000000" w:themeColor="text1"/>
          <w:sz w:val="24"/>
          <w:szCs w:val="24"/>
        </w:rPr>
        <w:t xml:space="preserve"> Evaluation of inflammatory cytokine and BC biomarker levels</w:t>
      </w:r>
    </w:p>
    <w:p w14:paraId="316A2275" w14:textId="1B44EBA7" w:rsidR="009E4170" w:rsidRPr="0040663E" w:rsidRDefault="009E4170" w:rsidP="00F10619">
      <w:pPr>
        <w:pStyle w:val="NormalWeb"/>
        <w:spacing w:after="0" w:line="276" w:lineRule="auto"/>
        <w:jc w:val="both"/>
        <w:rPr>
          <w:rFonts w:asciiTheme="minorHAnsi" w:hAnsiTheme="minorHAnsi" w:cstheme="minorHAnsi"/>
          <w:bCs/>
          <w:color w:val="000000" w:themeColor="text1"/>
        </w:rPr>
      </w:pPr>
      <w:r w:rsidRPr="0040663E">
        <w:rPr>
          <w:rFonts w:asciiTheme="minorHAnsi" w:hAnsiTheme="minorHAnsi" w:cstheme="minorHAnsi"/>
          <w:bCs/>
          <w:color w:val="000000" w:themeColor="text1"/>
        </w:rPr>
        <w:t>To examine the inflammatory response, IL-6, TNF-α, and IFN-γ levels were measured according to the protocol. Readings were recorded using a Spark® multimode microplate reader. Human G-CSF, alpha-fetoprotein, and CEA biomarkers were detected. Biotinylated antibody solutions (100 µl) were added to each well, sealed, incubated at 37°C for 60 minutes, and rinsed with Wash Buffer. Streptavidin-HRP conjugate (100 µl) and TMB substrate (100 µl) were added, incubated for 10 minutes at 37°C, and then stopped with 100 µl of stop solution. The wells changed from blue to yellow, and absorbance was measured at 450 nm within 10-15 minutes [</w:t>
      </w:r>
      <w:r w:rsidR="00A30704" w:rsidRPr="0040663E">
        <w:rPr>
          <w:rFonts w:asciiTheme="minorHAnsi" w:hAnsiTheme="minorHAnsi" w:cstheme="minorHAnsi"/>
          <w:bCs/>
          <w:color w:val="000000" w:themeColor="text1"/>
        </w:rPr>
        <w:t>4</w:t>
      </w:r>
      <w:r w:rsidRPr="0040663E">
        <w:rPr>
          <w:rFonts w:asciiTheme="minorHAnsi" w:hAnsiTheme="minorHAnsi" w:cstheme="minorHAnsi"/>
          <w:bCs/>
          <w:color w:val="000000" w:themeColor="text1"/>
        </w:rPr>
        <w:t>]</w:t>
      </w:r>
    </w:p>
    <w:p w14:paraId="4FB89D52" w14:textId="44BB9C94" w:rsidR="009E4170" w:rsidRPr="0040663E" w:rsidRDefault="009E4170" w:rsidP="00F10619">
      <w:pPr>
        <w:pStyle w:val="NormalWeb"/>
        <w:spacing w:after="0" w:line="276" w:lineRule="auto"/>
        <w:jc w:val="both"/>
        <w:rPr>
          <w:rFonts w:asciiTheme="minorHAnsi" w:hAnsiTheme="minorHAnsi" w:cstheme="minorHAnsi"/>
          <w:b/>
          <w:bCs/>
          <w:color w:val="000000" w:themeColor="text1"/>
        </w:rPr>
      </w:pPr>
      <w:r w:rsidRPr="0040663E">
        <w:rPr>
          <w:rFonts w:asciiTheme="minorHAnsi" w:hAnsiTheme="minorHAnsi" w:cstheme="minorHAnsi"/>
          <w:b/>
          <w:bCs/>
          <w:color w:val="000000" w:themeColor="text1"/>
        </w:rPr>
        <w:t>miRNA expression profiling</w:t>
      </w:r>
    </w:p>
    <w:p w14:paraId="7878432E" w14:textId="32B35E75" w:rsidR="009E4170" w:rsidRPr="0040663E" w:rsidRDefault="009E4170" w:rsidP="00F10619">
      <w:pPr>
        <w:pStyle w:val="NormalWeb"/>
        <w:spacing w:after="0" w:line="276" w:lineRule="auto"/>
        <w:jc w:val="both"/>
        <w:rPr>
          <w:rFonts w:asciiTheme="minorHAnsi" w:hAnsiTheme="minorHAnsi" w:cstheme="minorHAnsi"/>
          <w:color w:val="000000" w:themeColor="text1"/>
        </w:rPr>
      </w:pPr>
      <w:r w:rsidRPr="0040663E">
        <w:rPr>
          <w:rFonts w:asciiTheme="minorHAnsi" w:hAnsiTheme="minorHAnsi" w:cstheme="minorHAnsi"/>
          <w:color w:val="000000" w:themeColor="text1"/>
        </w:rPr>
        <w:t xml:space="preserve">miRNA expression was analyzed using real-time qPCR following an in-house protocol. Isolated miRNA was pooled age-wise and poly-adenylated using poly A polymerase and ATP at 37°C for 1 h to extend fragments to 100–120 bp. cDNA synthesis was carried out with </w:t>
      </w:r>
      <w:r w:rsidRPr="0040663E">
        <w:rPr>
          <w:rFonts w:asciiTheme="minorHAnsi" w:hAnsiTheme="minorHAnsi" w:cstheme="minorHAnsi"/>
          <w:color w:val="000000" w:themeColor="text1"/>
        </w:rPr>
        <w:lastRenderedPageBreak/>
        <w:t>oligo-dT primers and reverse transcriptase at 30°C (10 min), 42°C (60 min), 70°C (15 min), and 4°C (hold). qPCR was performed for miR-7a, miR-21, and miR-7b, with U6 as an internal control. Ct values were recorded, group means calculated, and fold change determined to evaluate expression differences [</w:t>
      </w:r>
      <w:r w:rsidR="00A30704" w:rsidRPr="0040663E">
        <w:rPr>
          <w:rFonts w:asciiTheme="minorHAnsi" w:hAnsiTheme="minorHAnsi" w:cstheme="minorHAnsi"/>
          <w:color w:val="000000" w:themeColor="text1"/>
        </w:rPr>
        <w:t>5</w:t>
      </w:r>
      <w:r w:rsidRPr="0040663E">
        <w:rPr>
          <w:rFonts w:asciiTheme="minorHAnsi" w:hAnsiTheme="minorHAnsi" w:cstheme="minorHAnsi"/>
          <w:color w:val="000000" w:themeColor="text1"/>
        </w:rPr>
        <w:t xml:space="preserve">]. </w:t>
      </w:r>
    </w:p>
    <w:p w14:paraId="38B6273C" w14:textId="1269A902" w:rsidR="009E4170" w:rsidRPr="0040663E" w:rsidRDefault="009E4170" w:rsidP="00F10619">
      <w:pPr>
        <w:pStyle w:val="NormalWeb"/>
        <w:spacing w:after="0" w:line="276" w:lineRule="auto"/>
        <w:jc w:val="both"/>
        <w:rPr>
          <w:rFonts w:asciiTheme="minorHAnsi" w:hAnsiTheme="minorHAnsi" w:cstheme="minorHAnsi"/>
          <w:b/>
          <w:bCs/>
          <w:color w:val="000000" w:themeColor="text1"/>
        </w:rPr>
      </w:pPr>
      <w:r w:rsidRPr="0040663E">
        <w:rPr>
          <w:rFonts w:asciiTheme="minorHAnsi" w:hAnsiTheme="minorHAnsi" w:cstheme="minorHAnsi"/>
          <w:b/>
          <w:bCs/>
          <w:color w:val="000000" w:themeColor="text1"/>
        </w:rPr>
        <w:t>Target genes and lncRNA analysis</w:t>
      </w:r>
    </w:p>
    <w:p w14:paraId="3F0BF573" w14:textId="48E854C1" w:rsidR="009E4170" w:rsidRPr="0040663E" w:rsidRDefault="009E4170" w:rsidP="009E4170">
      <w:pPr>
        <w:jc w:val="both"/>
        <w:rPr>
          <w:rFonts w:cstheme="minorHAnsi"/>
          <w:sz w:val="24"/>
          <w:szCs w:val="24"/>
        </w:rPr>
      </w:pPr>
      <w:r w:rsidRPr="0040663E">
        <w:rPr>
          <w:rFonts w:cstheme="minorHAnsi"/>
          <w:color w:val="000000" w:themeColor="text1"/>
          <w:sz w:val="24"/>
          <w:szCs w:val="24"/>
        </w:rPr>
        <w:t>The expression analysis was conducted using a PCR-based method. Isolated RNAs were categorized by age and converted into cDNA using the PrimeScript™ 1st Strand cDNA Synthesis Kit. The thermal cycling conditions were set as follows: 30°C for 10 minutes, 42°C for 60 minutes, 70°C for 15 minutes, and then held at 4°C. The synthesized cDNA was then mixed with qPCR Master Mix and specific primers for long non-coding RNAs (lncRNAs) such as Gas-5, H19, and PVT, as well as mRNAs including PTEN, PDCD4, FOXO3, APAF1, CDK2, MYC, PIK3CA, BCL2, E2F2, and CCND1, with GAPDH used as an internal control. Ct values were recorded, and the mean values and fold changes for the pooled groups were calculated.</w:t>
      </w:r>
      <w:r w:rsidRPr="0040663E" w:rsidDel="0083513E">
        <w:rPr>
          <w:rFonts w:cstheme="minorHAnsi"/>
          <w:color w:val="000000" w:themeColor="text1"/>
          <w:sz w:val="24"/>
          <w:szCs w:val="24"/>
        </w:rPr>
        <w:t xml:space="preserve"> </w:t>
      </w:r>
      <w:r w:rsidRPr="0040663E">
        <w:rPr>
          <w:rFonts w:cstheme="minorHAnsi"/>
          <w:color w:val="000000" w:themeColor="text1"/>
          <w:sz w:val="24"/>
          <w:szCs w:val="24"/>
        </w:rPr>
        <w:t>[</w:t>
      </w:r>
      <w:r w:rsidR="00A30704" w:rsidRPr="0040663E">
        <w:rPr>
          <w:rFonts w:cstheme="minorHAnsi"/>
          <w:color w:val="000000" w:themeColor="text1"/>
          <w:sz w:val="24"/>
          <w:szCs w:val="24"/>
        </w:rPr>
        <w:t>6,7</w:t>
      </w:r>
      <w:r w:rsidRPr="0040663E">
        <w:rPr>
          <w:rFonts w:cstheme="minorHAnsi"/>
          <w:color w:val="000000" w:themeColor="text1"/>
          <w:sz w:val="24"/>
          <w:szCs w:val="24"/>
        </w:rPr>
        <w:t>].</w:t>
      </w:r>
    </w:p>
    <w:p w14:paraId="48D40FA6" w14:textId="02448226" w:rsidR="009E4170" w:rsidRPr="0040663E" w:rsidRDefault="009E4170" w:rsidP="009E4170">
      <w:pPr>
        <w:pStyle w:val="NormalWeb"/>
        <w:spacing w:after="0" w:line="276" w:lineRule="auto"/>
        <w:ind w:left="142"/>
        <w:jc w:val="both"/>
        <w:rPr>
          <w:rFonts w:asciiTheme="minorHAnsi" w:hAnsiTheme="minorHAnsi" w:cstheme="minorHAnsi"/>
          <w:b/>
          <w:bCs/>
          <w:color w:val="000000" w:themeColor="text1"/>
        </w:rPr>
      </w:pPr>
      <w:r w:rsidRPr="0040663E">
        <w:rPr>
          <w:rFonts w:asciiTheme="minorHAnsi" w:hAnsiTheme="minorHAnsi" w:cstheme="minorHAnsi"/>
          <w:b/>
          <w:bCs/>
          <w:color w:val="000000" w:themeColor="text1"/>
        </w:rPr>
        <w:t>Quantification of RNA methylation</w:t>
      </w:r>
    </w:p>
    <w:p w14:paraId="0A69291A" w14:textId="7745CADD" w:rsidR="009E4170" w:rsidRPr="0040663E" w:rsidRDefault="009E4170" w:rsidP="009E4170">
      <w:pPr>
        <w:pStyle w:val="NormalWeb"/>
        <w:spacing w:after="0" w:line="276" w:lineRule="auto"/>
        <w:ind w:left="142"/>
        <w:jc w:val="both"/>
        <w:rPr>
          <w:rFonts w:asciiTheme="minorHAnsi" w:hAnsiTheme="minorHAnsi" w:cstheme="minorHAnsi"/>
          <w:color w:val="000000" w:themeColor="text1"/>
        </w:rPr>
      </w:pPr>
      <w:r w:rsidRPr="0040663E">
        <w:rPr>
          <w:rFonts w:asciiTheme="minorHAnsi" w:hAnsiTheme="minorHAnsi" w:cstheme="minorHAnsi"/>
          <w:color w:val="000000" w:themeColor="text1"/>
        </w:rPr>
        <w:t>The RNA samples were added to the ELISA wells and the binding solution and incubated for 90 minutes. A particular capture (m6A) and detection antibody were added in the next step, followed by washing and incubation for 1 hour and 30 minutes. The enhancer and developer solution were added and incubated, and the absorbance was measured at 450 nm using a Spark® multimode microplate reader (TECAN, Seestrasse 103, Mannedorf, Switzerland) [</w:t>
      </w:r>
      <w:r w:rsidR="00A30704" w:rsidRPr="0040663E">
        <w:rPr>
          <w:rFonts w:asciiTheme="minorHAnsi" w:hAnsiTheme="minorHAnsi" w:cstheme="minorHAnsi"/>
          <w:color w:val="000000" w:themeColor="text1"/>
        </w:rPr>
        <w:t>8,9</w:t>
      </w:r>
      <w:r w:rsidRPr="0040663E">
        <w:rPr>
          <w:rFonts w:asciiTheme="minorHAnsi" w:hAnsiTheme="minorHAnsi" w:cstheme="minorHAnsi"/>
          <w:color w:val="000000" w:themeColor="text1"/>
        </w:rPr>
        <w:t>].</w:t>
      </w:r>
    </w:p>
    <w:p w14:paraId="7F5A7D18" w14:textId="5A5377B8" w:rsidR="009E4170" w:rsidRPr="0040663E" w:rsidRDefault="009E4170" w:rsidP="009E4170">
      <w:pPr>
        <w:spacing w:before="240" w:line="276" w:lineRule="auto"/>
        <w:ind w:left="142"/>
        <w:jc w:val="both"/>
        <w:rPr>
          <w:rFonts w:cstheme="minorHAnsi"/>
          <w:bCs/>
          <w:color w:val="000000" w:themeColor="text1"/>
          <w:sz w:val="24"/>
          <w:szCs w:val="24"/>
        </w:rPr>
      </w:pPr>
      <w:r w:rsidRPr="0040663E">
        <w:rPr>
          <w:rFonts w:cstheme="minorHAnsi"/>
          <w:b/>
          <w:bCs/>
          <w:color w:val="000000" w:themeColor="text1"/>
          <w:sz w:val="24"/>
          <w:szCs w:val="24"/>
        </w:rPr>
        <w:t xml:space="preserve">Expression of Telomerase Reverse Transcriptase (TERT) </w:t>
      </w:r>
    </w:p>
    <w:p w14:paraId="4D7DF9D4" w14:textId="77ED3325" w:rsidR="009E4170" w:rsidRPr="0040663E" w:rsidRDefault="009E4170" w:rsidP="009E4170">
      <w:pPr>
        <w:spacing w:before="240" w:line="276" w:lineRule="auto"/>
        <w:ind w:left="142"/>
        <w:jc w:val="both"/>
        <w:rPr>
          <w:rFonts w:cstheme="minorHAnsi"/>
          <w:bCs/>
          <w:color w:val="000000" w:themeColor="text1"/>
          <w:sz w:val="24"/>
          <w:szCs w:val="24"/>
        </w:rPr>
      </w:pPr>
      <w:r w:rsidRPr="0040663E">
        <w:rPr>
          <w:rFonts w:cstheme="minorHAnsi"/>
          <w:bCs/>
          <w:color w:val="000000" w:themeColor="text1"/>
          <w:sz w:val="24"/>
          <w:szCs w:val="24"/>
        </w:rPr>
        <w:t>The expression levels of the TERT gene were analysed by amplification using a real-time PCR approach. Then, Ct values were recorded, and the fold change was calculated using the 2</w:t>
      </w:r>
      <w:r w:rsidRPr="0040663E">
        <w:rPr>
          <w:rFonts w:cstheme="minorHAnsi"/>
          <w:bCs/>
          <w:color w:val="000000" w:themeColor="text1"/>
          <w:sz w:val="24"/>
          <w:szCs w:val="24"/>
          <w:vertAlign w:val="superscript"/>
        </w:rPr>
        <w:t xml:space="preserve">− ΔΔCt </w:t>
      </w:r>
      <w:r w:rsidRPr="0040663E">
        <w:rPr>
          <w:rFonts w:cstheme="minorHAnsi"/>
          <w:bCs/>
          <w:color w:val="000000" w:themeColor="text1"/>
          <w:sz w:val="24"/>
          <w:szCs w:val="24"/>
        </w:rPr>
        <w:t>method [</w:t>
      </w:r>
      <w:r w:rsidR="00F7514B" w:rsidRPr="0040663E">
        <w:rPr>
          <w:rFonts w:cstheme="minorHAnsi"/>
          <w:bCs/>
          <w:color w:val="000000" w:themeColor="text1"/>
          <w:sz w:val="24"/>
          <w:szCs w:val="24"/>
        </w:rPr>
        <w:t>7</w:t>
      </w:r>
      <w:r w:rsidR="00F53C9A" w:rsidRPr="0040663E">
        <w:rPr>
          <w:rFonts w:cstheme="minorHAnsi"/>
          <w:bCs/>
          <w:color w:val="000000" w:themeColor="text1"/>
          <w:sz w:val="24"/>
          <w:szCs w:val="24"/>
        </w:rPr>
        <w:t>-</w:t>
      </w:r>
      <w:r w:rsidR="00F7514B" w:rsidRPr="0040663E">
        <w:rPr>
          <w:rFonts w:cstheme="minorHAnsi"/>
          <w:bCs/>
          <w:color w:val="000000" w:themeColor="text1"/>
          <w:sz w:val="24"/>
          <w:szCs w:val="24"/>
        </w:rPr>
        <w:t>9</w:t>
      </w:r>
      <w:r w:rsidRPr="0040663E">
        <w:rPr>
          <w:rFonts w:cstheme="minorHAnsi"/>
          <w:bCs/>
          <w:color w:val="000000" w:themeColor="text1"/>
          <w:sz w:val="24"/>
          <w:szCs w:val="24"/>
        </w:rPr>
        <w:t>].</w:t>
      </w:r>
    </w:p>
    <w:p w14:paraId="74E61A72" w14:textId="54848D0D" w:rsidR="009E4170" w:rsidRPr="0040663E" w:rsidRDefault="009E4170" w:rsidP="009E4170">
      <w:pPr>
        <w:spacing w:before="240" w:line="276" w:lineRule="auto"/>
        <w:ind w:left="142"/>
        <w:jc w:val="both"/>
        <w:rPr>
          <w:rFonts w:cstheme="minorHAnsi"/>
          <w:b/>
          <w:bCs/>
          <w:color w:val="000000" w:themeColor="text1"/>
          <w:sz w:val="24"/>
          <w:szCs w:val="24"/>
        </w:rPr>
      </w:pPr>
      <w:r w:rsidRPr="0040663E">
        <w:rPr>
          <w:rFonts w:cstheme="minorHAnsi"/>
          <w:b/>
          <w:bCs/>
          <w:color w:val="000000" w:themeColor="text1"/>
          <w:sz w:val="24"/>
          <w:szCs w:val="24"/>
        </w:rPr>
        <w:t>Correlation analysis</w:t>
      </w:r>
    </w:p>
    <w:p w14:paraId="3A917EDA" w14:textId="2955B12F" w:rsidR="009E4170" w:rsidRPr="0040663E" w:rsidRDefault="009E4170" w:rsidP="009E4170">
      <w:pPr>
        <w:spacing w:before="240" w:line="276" w:lineRule="auto"/>
        <w:ind w:left="142"/>
        <w:jc w:val="both"/>
        <w:rPr>
          <w:rFonts w:cstheme="minorHAnsi"/>
          <w:bCs/>
          <w:color w:val="000000" w:themeColor="text1"/>
          <w:sz w:val="24"/>
          <w:szCs w:val="24"/>
        </w:rPr>
      </w:pPr>
      <w:r w:rsidRPr="0040663E">
        <w:rPr>
          <w:rFonts w:cstheme="minorHAnsi"/>
          <w:bCs/>
          <w:color w:val="000000" w:themeColor="text1"/>
          <w:sz w:val="24"/>
          <w:szCs w:val="24"/>
        </w:rPr>
        <w:t xml:space="preserve">In this study, we employed the R programming language to analyze correlations among age, methylation, and biomarkers with other parameters. We focused on uncovering insights with potential implications for biological and clinical contexts. The results from rigorous analysis were used as the dataset that formed the foundation for our subsequent analysis. Using Pearson correlation coefficients calculated with R's cor(x) function, we explored the strength and direction of relationships between these key variables. The resulting correlation matrix and scatterplot matrix visually show the associations. While acknowledging the limitations and assumptions inherent in correlation analyses, our study adhered to rigorous scientific standards. The correlation coefficient, often denoted as (r), </w:t>
      </w:r>
      <w:r w:rsidRPr="0040663E">
        <w:rPr>
          <w:rFonts w:cstheme="minorHAnsi"/>
          <w:bCs/>
          <w:color w:val="000000" w:themeColor="text1"/>
          <w:sz w:val="24"/>
          <w:szCs w:val="24"/>
        </w:rPr>
        <w:lastRenderedPageBreak/>
        <w:t>measures the strength and direction of a linear relationship between two variables</w:t>
      </w:r>
      <w:r w:rsidR="002F7959" w:rsidRPr="0040663E">
        <w:rPr>
          <w:rFonts w:cstheme="minorHAnsi"/>
          <w:bCs/>
          <w:color w:val="000000" w:themeColor="text1"/>
          <w:sz w:val="24"/>
          <w:szCs w:val="24"/>
        </w:rPr>
        <w:t xml:space="preserve"> [</w:t>
      </w:r>
      <w:r w:rsidR="00F7514B" w:rsidRPr="0040663E">
        <w:rPr>
          <w:rFonts w:cstheme="minorHAnsi"/>
          <w:bCs/>
          <w:color w:val="000000" w:themeColor="text1"/>
          <w:sz w:val="24"/>
          <w:szCs w:val="24"/>
        </w:rPr>
        <w:t>10</w:t>
      </w:r>
      <w:r w:rsidR="002F7959" w:rsidRPr="0040663E">
        <w:rPr>
          <w:rFonts w:cstheme="minorHAnsi"/>
          <w:bCs/>
          <w:color w:val="000000" w:themeColor="text1"/>
          <w:sz w:val="24"/>
          <w:szCs w:val="24"/>
        </w:rPr>
        <w:t>]</w:t>
      </w:r>
      <w:r w:rsidRPr="0040663E">
        <w:rPr>
          <w:rFonts w:cstheme="minorHAnsi"/>
          <w:bCs/>
          <w:color w:val="000000" w:themeColor="text1"/>
          <w:sz w:val="24"/>
          <w:szCs w:val="24"/>
        </w:rPr>
        <w:t>. The formula for the sample correlation coefficient (r) between variables (X) and (Y) is given by:</w:t>
      </w:r>
    </w:p>
    <w:p w14:paraId="7ABC3959" w14:textId="77777777" w:rsidR="009E4170" w:rsidRPr="0040663E" w:rsidRDefault="009E4170" w:rsidP="009E4170">
      <w:pPr>
        <w:spacing w:before="240" w:line="276" w:lineRule="auto"/>
        <w:ind w:left="142"/>
        <w:jc w:val="both"/>
        <w:rPr>
          <w:rFonts w:eastAsiaTheme="minorEastAsia" w:cstheme="minorHAnsi"/>
          <w:bCs/>
          <w:color w:val="000000" w:themeColor="text1"/>
          <w:sz w:val="24"/>
          <w:szCs w:val="24"/>
        </w:rPr>
      </w:pPr>
      <m:oMathPara>
        <m:oMath>
          <m:r>
            <m:rPr>
              <m:sty m:val="p"/>
            </m:rPr>
            <w:rPr>
              <w:rFonts w:ascii="Cambria Math" w:hAnsi="Cambria Math" w:cstheme="minorHAnsi"/>
              <w:color w:val="000000" w:themeColor="text1"/>
              <w:sz w:val="24"/>
              <w:szCs w:val="24"/>
            </w:rPr>
            <m:t>r=</m:t>
          </m:r>
          <m:f>
            <m:fPr>
              <m:ctrlPr>
                <w:rPr>
                  <w:rFonts w:ascii="Cambria Math" w:hAnsi="Cambria Math" w:cstheme="minorHAnsi"/>
                  <w:bCs/>
                  <w:color w:val="000000" w:themeColor="text1"/>
                  <w:sz w:val="24"/>
                  <w:szCs w:val="24"/>
                </w:rPr>
              </m:ctrlPr>
            </m:fPr>
            <m:num>
              <m:r>
                <m:rPr>
                  <m:sty m:val="p"/>
                </m:rPr>
                <w:rPr>
                  <w:rFonts w:ascii="Cambria Math" w:hAnsi="Cambria Math" w:cstheme="minorHAnsi"/>
                  <w:color w:val="000000" w:themeColor="text1"/>
                  <w:sz w:val="24"/>
                  <w:szCs w:val="24"/>
                </w:rPr>
                <m:t>∑</m:t>
              </m:r>
              <m:d>
                <m:dPr>
                  <m:ctrlPr>
                    <w:rPr>
                      <w:rFonts w:ascii="Cambria Math" w:hAnsi="Cambria Math" w:cstheme="minorHAnsi"/>
                      <w:bCs/>
                      <w:color w:val="000000" w:themeColor="text1"/>
                      <w:sz w:val="24"/>
                      <w:szCs w:val="24"/>
                    </w:rPr>
                  </m:ctrlPr>
                </m:dPr>
                <m:e>
                  <m:sSub>
                    <m:sSubPr>
                      <m:ctrlPr>
                        <w:rPr>
                          <w:rFonts w:ascii="Cambria Math" w:hAnsi="Cambria Math" w:cstheme="minorHAnsi"/>
                          <w:bCs/>
                          <w:color w:val="000000" w:themeColor="text1"/>
                          <w:sz w:val="24"/>
                          <w:szCs w:val="24"/>
                        </w:rPr>
                      </m:ctrlPr>
                    </m:sSubPr>
                    <m:e>
                      <m:r>
                        <m:rPr>
                          <m:sty m:val="p"/>
                        </m:rPr>
                        <w:rPr>
                          <w:rFonts w:ascii="Cambria Math" w:hAnsi="Cambria Math" w:cstheme="minorHAnsi"/>
                          <w:color w:val="000000" w:themeColor="text1"/>
                          <w:sz w:val="24"/>
                          <w:szCs w:val="24"/>
                        </w:rPr>
                        <m:t>x</m:t>
                      </m:r>
                    </m:e>
                    <m:sub>
                      <m:r>
                        <m:rPr>
                          <m:sty m:val="p"/>
                        </m:rPr>
                        <w:rPr>
                          <w:rFonts w:ascii="Cambria Math" w:hAnsi="Cambria Math" w:cstheme="minorHAnsi"/>
                          <w:color w:val="000000" w:themeColor="text1"/>
                          <w:sz w:val="24"/>
                          <w:szCs w:val="24"/>
                        </w:rPr>
                        <m:t>i</m:t>
                      </m:r>
                    </m:sub>
                  </m:sSub>
                  <m:r>
                    <m:rPr>
                      <m:sty m:val="p"/>
                    </m:rPr>
                    <w:rPr>
                      <w:rFonts w:ascii="Cambria Math" w:hAnsi="Cambria Math" w:cstheme="minorHAnsi"/>
                      <w:color w:val="000000" w:themeColor="text1"/>
                      <w:sz w:val="24"/>
                      <w:szCs w:val="24"/>
                    </w:rPr>
                    <m:t>-</m:t>
                  </m:r>
                  <m:acc>
                    <m:accPr>
                      <m:chr m:val="̅"/>
                      <m:ctrlPr>
                        <w:rPr>
                          <w:rFonts w:ascii="Cambria Math" w:hAnsi="Cambria Math" w:cstheme="minorHAnsi"/>
                          <w:bCs/>
                          <w:color w:val="000000" w:themeColor="text1"/>
                          <w:sz w:val="24"/>
                          <w:szCs w:val="24"/>
                        </w:rPr>
                      </m:ctrlPr>
                    </m:accPr>
                    <m:e>
                      <m:r>
                        <m:rPr>
                          <m:sty m:val="p"/>
                        </m:rPr>
                        <w:rPr>
                          <w:rFonts w:ascii="Cambria Math" w:hAnsi="Cambria Math" w:cstheme="minorHAnsi"/>
                          <w:color w:val="000000" w:themeColor="text1"/>
                          <w:sz w:val="24"/>
                          <w:szCs w:val="24"/>
                        </w:rPr>
                        <m:t>x</m:t>
                      </m:r>
                    </m:e>
                  </m:acc>
                </m:e>
              </m:d>
              <m:d>
                <m:dPr>
                  <m:ctrlPr>
                    <w:rPr>
                      <w:rFonts w:ascii="Cambria Math" w:hAnsi="Cambria Math" w:cstheme="minorHAnsi"/>
                      <w:bCs/>
                      <w:color w:val="000000" w:themeColor="text1"/>
                      <w:sz w:val="24"/>
                      <w:szCs w:val="24"/>
                    </w:rPr>
                  </m:ctrlPr>
                </m:dPr>
                <m:e>
                  <m:sSub>
                    <m:sSubPr>
                      <m:ctrlPr>
                        <w:rPr>
                          <w:rFonts w:ascii="Cambria Math" w:hAnsi="Cambria Math" w:cstheme="minorHAnsi"/>
                          <w:bCs/>
                          <w:color w:val="000000" w:themeColor="text1"/>
                          <w:sz w:val="24"/>
                          <w:szCs w:val="24"/>
                        </w:rPr>
                      </m:ctrlPr>
                    </m:sSubPr>
                    <m:e>
                      <m:r>
                        <m:rPr>
                          <m:sty m:val="p"/>
                        </m:rPr>
                        <w:rPr>
                          <w:rFonts w:ascii="Cambria Math" w:hAnsi="Cambria Math" w:cstheme="minorHAnsi"/>
                          <w:color w:val="000000" w:themeColor="text1"/>
                          <w:sz w:val="24"/>
                          <w:szCs w:val="24"/>
                        </w:rPr>
                        <m:t>y</m:t>
                      </m:r>
                    </m:e>
                    <m:sub>
                      <m:r>
                        <m:rPr>
                          <m:sty m:val="p"/>
                        </m:rPr>
                        <w:rPr>
                          <w:rFonts w:ascii="Cambria Math" w:hAnsi="Cambria Math" w:cstheme="minorHAnsi"/>
                          <w:color w:val="000000" w:themeColor="text1"/>
                          <w:sz w:val="24"/>
                          <w:szCs w:val="24"/>
                        </w:rPr>
                        <m:t>i</m:t>
                      </m:r>
                    </m:sub>
                  </m:sSub>
                  <m:r>
                    <m:rPr>
                      <m:sty m:val="p"/>
                    </m:rPr>
                    <w:rPr>
                      <w:rFonts w:ascii="Cambria Math" w:hAnsi="Cambria Math" w:cstheme="minorHAnsi"/>
                      <w:color w:val="000000" w:themeColor="text1"/>
                      <w:sz w:val="24"/>
                      <w:szCs w:val="24"/>
                    </w:rPr>
                    <m:t>-</m:t>
                  </m:r>
                  <m:acc>
                    <m:accPr>
                      <m:chr m:val="̅"/>
                      <m:ctrlPr>
                        <w:rPr>
                          <w:rFonts w:ascii="Cambria Math" w:hAnsi="Cambria Math" w:cstheme="minorHAnsi"/>
                          <w:bCs/>
                          <w:color w:val="000000" w:themeColor="text1"/>
                          <w:sz w:val="24"/>
                          <w:szCs w:val="24"/>
                        </w:rPr>
                      </m:ctrlPr>
                    </m:accPr>
                    <m:e>
                      <m:r>
                        <m:rPr>
                          <m:sty m:val="p"/>
                        </m:rPr>
                        <w:rPr>
                          <w:rFonts w:ascii="Cambria Math" w:hAnsi="Cambria Math" w:cstheme="minorHAnsi"/>
                          <w:color w:val="000000" w:themeColor="text1"/>
                          <w:sz w:val="24"/>
                          <w:szCs w:val="24"/>
                        </w:rPr>
                        <m:t>y</m:t>
                      </m:r>
                    </m:e>
                  </m:acc>
                </m:e>
              </m:d>
            </m:num>
            <m:den>
              <m:rad>
                <m:radPr>
                  <m:degHide m:val="1"/>
                  <m:ctrlPr>
                    <w:rPr>
                      <w:rFonts w:ascii="Cambria Math" w:hAnsi="Cambria Math" w:cstheme="minorHAnsi"/>
                      <w:bCs/>
                      <w:color w:val="000000" w:themeColor="text1"/>
                      <w:sz w:val="24"/>
                      <w:szCs w:val="24"/>
                    </w:rPr>
                  </m:ctrlPr>
                </m:radPr>
                <m:deg/>
                <m:e>
                  <m:r>
                    <m:rPr>
                      <m:sty m:val="p"/>
                    </m:rPr>
                    <w:rPr>
                      <w:rFonts w:ascii="Cambria Math" w:hAnsi="Cambria Math" w:cstheme="minorHAnsi"/>
                      <w:color w:val="000000" w:themeColor="text1"/>
                      <w:sz w:val="24"/>
                      <w:szCs w:val="24"/>
                    </w:rPr>
                    <m:t>∑</m:t>
                  </m:r>
                  <m:sSup>
                    <m:sSupPr>
                      <m:ctrlPr>
                        <w:rPr>
                          <w:rFonts w:ascii="Cambria Math" w:hAnsi="Cambria Math" w:cstheme="minorHAnsi"/>
                          <w:bCs/>
                          <w:color w:val="000000" w:themeColor="text1"/>
                          <w:sz w:val="24"/>
                          <w:szCs w:val="24"/>
                        </w:rPr>
                      </m:ctrlPr>
                    </m:sSupPr>
                    <m:e>
                      <m:d>
                        <m:dPr>
                          <m:ctrlPr>
                            <w:rPr>
                              <w:rFonts w:ascii="Cambria Math" w:hAnsi="Cambria Math" w:cstheme="minorHAnsi"/>
                              <w:bCs/>
                              <w:color w:val="000000" w:themeColor="text1"/>
                              <w:sz w:val="24"/>
                              <w:szCs w:val="24"/>
                            </w:rPr>
                          </m:ctrlPr>
                        </m:dPr>
                        <m:e>
                          <m:sSub>
                            <m:sSubPr>
                              <m:ctrlPr>
                                <w:rPr>
                                  <w:rFonts w:ascii="Cambria Math" w:hAnsi="Cambria Math" w:cstheme="minorHAnsi"/>
                                  <w:bCs/>
                                  <w:color w:val="000000" w:themeColor="text1"/>
                                  <w:sz w:val="24"/>
                                  <w:szCs w:val="24"/>
                                </w:rPr>
                              </m:ctrlPr>
                            </m:sSubPr>
                            <m:e>
                              <m:r>
                                <m:rPr>
                                  <m:sty m:val="p"/>
                                </m:rPr>
                                <w:rPr>
                                  <w:rFonts w:ascii="Cambria Math" w:hAnsi="Cambria Math" w:cstheme="minorHAnsi"/>
                                  <w:color w:val="000000" w:themeColor="text1"/>
                                  <w:sz w:val="24"/>
                                  <w:szCs w:val="24"/>
                                </w:rPr>
                                <m:t>x</m:t>
                              </m:r>
                            </m:e>
                            <m:sub>
                              <m:r>
                                <m:rPr>
                                  <m:sty m:val="p"/>
                                </m:rPr>
                                <w:rPr>
                                  <w:rFonts w:ascii="Cambria Math" w:hAnsi="Cambria Math" w:cstheme="minorHAnsi"/>
                                  <w:color w:val="000000" w:themeColor="text1"/>
                                  <w:sz w:val="24"/>
                                  <w:szCs w:val="24"/>
                                </w:rPr>
                                <m:t>i</m:t>
                              </m:r>
                            </m:sub>
                          </m:sSub>
                          <m:r>
                            <m:rPr>
                              <m:sty m:val="p"/>
                            </m:rPr>
                            <w:rPr>
                              <w:rFonts w:ascii="Cambria Math" w:hAnsi="Cambria Math" w:cstheme="minorHAnsi"/>
                              <w:color w:val="000000" w:themeColor="text1"/>
                              <w:sz w:val="24"/>
                              <w:szCs w:val="24"/>
                            </w:rPr>
                            <m:t>-</m:t>
                          </m:r>
                          <m:acc>
                            <m:accPr>
                              <m:chr m:val="̅"/>
                              <m:ctrlPr>
                                <w:rPr>
                                  <w:rFonts w:ascii="Cambria Math" w:hAnsi="Cambria Math" w:cstheme="minorHAnsi"/>
                                  <w:bCs/>
                                  <w:color w:val="000000" w:themeColor="text1"/>
                                  <w:sz w:val="24"/>
                                  <w:szCs w:val="24"/>
                                </w:rPr>
                              </m:ctrlPr>
                            </m:accPr>
                            <m:e>
                              <m:r>
                                <m:rPr>
                                  <m:sty m:val="p"/>
                                </m:rPr>
                                <w:rPr>
                                  <w:rFonts w:ascii="Cambria Math" w:hAnsi="Cambria Math" w:cstheme="minorHAnsi"/>
                                  <w:color w:val="000000" w:themeColor="text1"/>
                                  <w:sz w:val="24"/>
                                  <w:szCs w:val="24"/>
                                </w:rPr>
                                <m:t>x</m:t>
                              </m:r>
                            </m:e>
                          </m:acc>
                        </m:e>
                      </m:d>
                    </m:e>
                    <m:sup>
                      <m:r>
                        <m:rPr>
                          <m:sty m:val="p"/>
                        </m:rPr>
                        <w:rPr>
                          <w:rFonts w:ascii="Cambria Math" w:hAnsi="Cambria Math" w:cstheme="minorHAnsi"/>
                          <w:color w:val="000000" w:themeColor="text1"/>
                          <w:sz w:val="24"/>
                          <w:szCs w:val="24"/>
                        </w:rPr>
                        <m:t>2</m:t>
                      </m:r>
                    </m:sup>
                  </m:sSup>
                  <m:r>
                    <m:rPr>
                      <m:sty m:val="p"/>
                    </m:rPr>
                    <w:rPr>
                      <w:rFonts w:ascii="Cambria Math" w:hAnsi="Cambria Math" w:cstheme="minorHAnsi"/>
                      <w:color w:val="000000" w:themeColor="text1"/>
                      <w:sz w:val="24"/>
                      <w:szCs w:val="24"/>
                    </w:rPr>
                    <m:t>Σ</m:t>
                  </m:r>
                </m:e>
              </m:rad>
              <m:sSup>
                <m:sSupPr>
                  <m:ctrlPr>
                    <w:rPr>
                      <w:rFonts w:ascii="Cambria Math" w:hAnsi="Cambria Math" w:cstheme="minorHAnsi"/>
                      <w:bCs/>
                      <w:color w:val="000000" w:themeColor="text1"/>
                      <w:sz w:val="24"/>
                      <w:szCs w:val="24"/>
                    </w:rPr>
                  </m:ctrlPr>
                </m:sSupPr>
                <m:e>
                  <m:d>
                    <m:dPr>
                      <m:ctrlPr>
                        <w:rPr>
                          <w:rFonts w:ascii="Cambria Math" w:hAnsi="Cambria Math" w:cstheme="minorHAnsi"/>
                          <w:bCs/>
                          <w:color w:val="000000" w:themeColor="text1"/>
                          <w:sz w:val="24"/>
                          <w:szCs w:val="24"/>
                        </w:rPr>
                      </m:ctrlPr>
                    </m:dPr>
                    <m:e>
                      <m:r>
                        <m:rPr>
                          <m:sty m:val="p"/>
                        </m:rPr>
                        <w:rPr>
                          <w:rFonts w:ascii="Cambria Math" w:hAnsi="Cambria Math" w:cstheme="minorHAnsi"/>
                          <w:color w:val="000000" w:themeColor="text1"/>
                          <w:sz w:val="24"/>
                          <w:szCs w:val="24"/>
                        </w:rPr>
                        <m:t>yⅈ-</m:t>
                      </m:r>
                      <m:acc>
                        <m:accPr>
                          <m:chr m:val="̅"/>
                          <m:ctrlPr>
                            <w:rPr>
                              <w:rFonts w:ascii="Cambria Math" w:hAnsi="Cambria Math" w:cstheme="minorHAnsi"/>
                              <w:bCs/>
                              <w:color w:val="000000" w:themeColor="text1"/>
                              <w:sz w:val="24"/>
                              <w:szCs w:val="24"/>
                            </w:rPr>
                          </m:ctrlPr>
                        </m:accPr>
                        <m:e>
                          <m:r>
                            <m:rPr>
                              <m:sty m:val="p"/>
                            </m:rPr>
                            <w:rPr>
                              <w:rFonts w:ascii="Cambria Math" w:hAnsi="Cambria Math" w:cstheme="minorHAnsi"/>
                              <w:color w:val="000000" w:themeColor="text1"/>
                              <w:sz w:val="24"/>
                              <w:szCs w:val="24"/>
                            </w:rPr>
                            <m:t>y</m:t>
                          </m:r>
                        </m:e>
                      </m:acc>
                    </m:e>
                  </m:d>
                </m:e>
                <m:sup>
                  <m:r>
                    <m:rPr>
                      <m:sty m:val="p"/>
                    </m:rPr>
                    <w:rPr>
                      <w:rFonts w:ascii="Cambria Math" w:hAnsi="Cambria Math" w:cstheme="minorHAnsi"/>
                      <w:color w:val="000000" w:themeColor="text1"/>
                      <w:sz w:val="24"/>
                      <w:szCs w:val="24"/>
                    </w:rPr>
                    <m:t>2</m:t>
                  </m:r>
                </m:sup>
              </m:sSup>
            </m:den>
          </m:f>
        </m:oMath>
      </m:oMathPara>
    </w:p>
    <w:p w14:paraId="21F10877" w14:textId="77777777" w:rsidR="009E4170" w:rsidRPr="0040663E" w:rsidRDefault="009E4170" w:rsidP="009E4170">
      <w:pPr>
        <w:pStyle w:val="ListParagraph"/>
        <w:spacing w:before="240" w:line="276" w:lineRule="auto"/>
        <w:ind w:left="142"/>
        <w:jc w:val="both"/>
        <w:rPr>
          <w:rFonts w:eastAsiaTheme="minorEastAsia" w:cstheme="minorHAnsi"/>
          <w:bCs/>
          <w:color w:val="000000" w:themeColor="text1"/>
          <w:sz w:val="24"/>
          <w:szCs w:val="24"/>
        </w:rPr>
      </w:pPr>
      <w:r w:rsidRPr="0040663E">
        <w:rPr>
          <w:rFonts w:eastAsiaTheme="minorEastAsia" w:cstheme="minorHAnsi"/>
          <w:bCs/>
          <w:color w:val="000000" w:themeColor="text1"/>
          <w:sz w:val="24"/>
          <w:szCs w:val="24"/>
        </w:rPr>
        <w:t>Where:</w:t>
      </w:r>
    </w:p>
    <w:p w14:paraId="36DE7DE5" w14:textId="77777777" w:rsidR="009E4170" w:rsidRPr="0040663E" w:rsidRDefault="009E4170" w:rsidP="009E4170">
      <w:pPr>
        <w:pStyle w:val="ListParagraph"/>
        <w:spacing w:before="240" w:line="276" w:lineRule="auto"/>
        <w:ind w:left="142"/>
        <w:jc w:val="both"/>
        <w:rPr>
          <w:rFonts w:eastAsiaTheme="minorEastAsia" w:cstheme="minorHAnsi"/>
          <w:bCs/>
          <w:color w:val="000000" w:themeColor="text1"/>
          <w:sz w:val="24"/>
          <w:szCs w:val="24"/>
        </w:rPr>
      </w:pPr>
      <w:r w:rsidRPr="0040663E">
        <w:rPr>
          <w:rFonts w:eastAsiaTheme="minorEastAsia" w:cstheme="minorHAnsi"/>
          <w:bCs/>
          <w:color w:val="000000" w:themeColor="text1"/>
          <w:sz w:val="24"/>
          <w:szCs w:val="24"/>
        </w:rPr>
        <w:t>(x</w:t>
      </w:r>
      <w:r w:rsidRPr="0040663E">
        <w:rPr>
          <w:rFonts w:eastAsiaTheme="minorEastAsia" w:cstheme="minorHAnsi"/>
          <w:bCs/>
          <w:color w:val="000000" w:themeColor="text1"/>
          <w:sz w:val="24"/>
          <w:szCs w:val="24"/>
          <w:vertAlign w:val="subscript"/>
        </w:rPr>
        <w:t>i</w:t>
      </w:r>
      <w:r w:rsidRPr="0040663E">
        <w:rPr>
          <w:rFonts w:eastAsiaTheme="minorEastAsia" w:cstheme="minorHAnsi"/>
          <w:bCs/>
          <w:color w:val="000000" w:themeColor="text1"/>
          <w:sz w:val="24"/>
          <w:szCs w:val="24"/>
        </w:rPr>
        <w:t>) and (y</w:t>
      </w:r>
      <w:r w:rsidRPr="0040663E">
        <w:rPr>
          <w:rFonts w:eastAsiaTheme="minorEastAsia" w:cstheme="minorHAnsi"/>
          <w:bCs/>
          <w:color w:val="000000" w:themeColor="text1"/>
          <w:sz w:val="24"/>
          <w:szCs w:val="24"/>
          <w:vertAlign w:val="subscript"/>
        </w:rPr>
        <w:t>i</w:t>
      </w:r>
      <w:r w:rsidRPr="0040663E">
        <w:rPr>
          <w:rFonts w:eastAsiaTheme="minorEastAsia" w:cstheme="minorHAnsi"/>
          <w:bCs/>
          <w:color w:val="000000" w:themeColor="text1"/>
          <w:sz w:val="24"/>
          <w:szCs w:val="24"/>
        </w:rPr>
        <w:t>) are individual data points for variables (x) and (y),</w:t>
      </w:r>
    </w:p>
    <w:p w14:paraId="10908AAB" w14:textId="77777777" w:rsidR="009E4170" w:rsidRPr="0040663E" w:rsidRDefault="009E4170" w:rsidP="009E4170">
      <w:pPr>
        <w:pStyle w:val="ListParagraph"/>
        <w:spacing w:before="240" w:line="276" w:lineRule="auto"/>
        <w:ind w:left="142"/>
        <w:jc w:val="both"/>
        <w:rPr>
          <w:rFonts w:eastAsiaTheme="minorEastAsia" w:cstheme="minorHAnsi"/>
          <w:bCs/>
          <w:color w:val="000000" w:themeColor="text1"/>
          <w:sz w:val="24"/>
          <w:szCs w:val="24"/>
        </w:rPr>
      </w:pPr>
      <w:r w:rsidRPr="0040663E">
        <w:rPr>
          <w:rFonts w:eastAsiaTheme="minorEastAsia" w:cstheme="minorHAnsi"/>
          <w:bCs/>
          <w:color w:val="000000" w:themeColor="text1"/>
          <w:sz w:val="24"/>
          <w:szCs w:val="24"/>
        </w:rPr>
        <w:t>(x̄) and (ȳ) are the means of variables (x) and (y), respectively.</w:t>
      </w:r>
    </w:p>
    <w:p w14:paraId="1F264E76" w14:textId="77777777" w:rsidR="002148CC" w:rsidRPr="0040663E" w:rsidRDefault="002148CC" w:rsidP="009E4170">
      <w:pPr>
        <w:pStyle w:val="ListParagraph"/>
        <w:spacing w:before="240" w:line="276" w:lineRule="auto"/>
        <w:ind w:left="142"/>
        <w:jc w:val="both"/>
        <w:rPr>
          <w:rFonts w:eastAsiaTheme="minorEastAsia" w:cstheme="minorHAnsi"/>
          <w:bCs/>
          <w:color w:val="000000" w:themeColor="text1"/>
          <w:sz w:val="24"/>
          <w:szCs w:val="24"/>
        </w:rPr>
      </w:pPr>
    </w:p>
    <w:p w14:paraId="61B78B3D" w14:textId="77777777" w:rsidR="002148CC" w:rsidRPr="0040663E" w:rsidRDefault="002148CC" w:rsidP="002148CC">
      <w:pPr>
        <w:spacing w:line="276" w:lineRule="auto"/>
        <w:ind w:left="142"/>
        <w:jc w:val="both"/>
        <w:rPr>
          <w:rFonts w:cstheme="minorHAnsi"/>
          <w:b/>
          <w:bCs/>
        </w:rPr>
      </w:pPr>
      <w:r w:rsidRPr="0040663E">
        <w:rPr>
          <w:rFonts w:cstheme="minorHAnsi"/>
          <w:b/>
          <w:bCs/>
        </w:rPr>
        <w:t>Multivariate correlation analysis and BC risk prediction model</w:t>
      </w:r>
    </w:p>
    <w:p w14:paraId="59658457" w14:textId="2EC5F484" w:rsidR="002148CC" w:rsidRPr="0040663E" w:rsidRDefault="002148CC" w:rsidP="002148CC">
      <w:pPr>
        <w:spacing w:line="276" w:lineRule="auto"/>
        <w:ind w:left="142"/>
        <w:jc w:val="both"/>
        <w:rPr>
          <w:rFonts w:cstheme="minorHAnsi"/>
        </w:rPr>
      </w:pPr>
      <w:r w:rsidRPr="0040663E">
        <w:rPr>
          <w:rFonts w:cstheme="minorHAnsi"/>
        </w:rPr>
        <w:t>Expanding on our earlier work in applying advanced machine learning methods for disease prediction the present study aims to develop an AI based risk prediction model for BC. This model leverages clinical and molecular biomarker data to support early detection and risk stratification efforts.</w:t>
      </w:r>
    </w:p>
    <w:p w14:paraId="6DC13B28" w14:textId="2F764602" w:rsidR="002148CC" w:rsidRPr="0040663E" w:rsidRDefault="002148CC" w:rsidP="002148CC">
      <w:pPr>
        <w:spacing w:line="276" w:lineRule="auto"/>
        <w:ind w:left="142"/>
        <w:jc w:val="both"/>
        <w:rPr>
          <w:rFonts w:cstheme="minorHAnsi"/>
        </w:rPr>
      </w:pPr>
      <w:r w:rsidRPr="0040663E">
        <w:rPr>
          <w:rFonts w:cstheme="minorHAnsi"/>
        </w:rPr>
        <w:t>The model development process consists of several critical stages, beginning with data collection and preprocessing</w:t>
      </w:r>
      <w:r w:rsidRPr="0040663E">
        <w:rPr>
          <w:rFonts w:cstheme="minorHAnsi"/>
          <w:lang w:val="en-US"/>
        </w:rPr>
        <w:t xml:space="preserve">. The dataset, sourced from clinical records, includes key features such as age, mitochondrial DNA methylation levels, G-CSF levels, and </w:t>
      </w:r>
      <w:r w:rsidRPr="0040663E">
        <w:rPr>
          <w:rFonts w:cstheme="minorHAnsi"/>
          <w:color w:val="000000" w:themeColor="text1"/>
        </w:rPr>
        <w:t>TERT</w:t>
      </w:r>
      <w:r w:rsidRPr="0040663E">
        <w:rPr>
          <w:rFonts w:cstheme="minorHAnsi"/>
          <w:lang w:val="en-US"/>
        </w:rPr>
        <w:t xml:space="preserve"> levels, with the target variable indicating BC risk classification. Data cleaning is essential to ensure quality, address missing values, and standardize the features for uniformity. Following preprocessing, various machine learning algorithms are selected for model training, including Logistic Regression, Random Forest, Support Vector Machine (SVM), K-Nearest Neighbors (KNN), and Gradient Boosting. The dataset is then split into training (80%) and testing (20%) sets, utilizing Stratified K-Fold cross-validation to assess model performance and ensure generalization without overfitting</w:t>
      </w:r>
      <w:r w:rsidR="00D67A33" w:rsidRPr="0040663E">
        <w:rPr>
          <w:rFonts w:cstheme="minorHAnsi"/>
          <w:lang w:val="en-US"/>
        </w:rPr>
        <w:t xml:space="preserve"> [9]</w:t>
      </w:r>
      <w:r w:rsidRPr="0040663E">
        <w:rPr>
          <w:rFonts w:cstheme="minorHAnsi"/>
          <w:lang w:val="en-US"/>
        </w:rPr>
        <w:t>. Performance metrics such as accuracy, precision, recall, F1-score, and confusion matrices are calculated to evaluate each model's effectiveness. Additionally, Receiver Operating Characteristic (ROC) and Precision-Recall curves provide further insight into model discrimination capabilities. After a thorough evaluation, Logistic Regression emerges as the top-performing model due to its balance of interpretability and high accuracy, achieving an average cross-validation score of 90.7%. Once validated, the model is saved using Pickle for future predictions, enabling its integration into clinical decision support systems to predict BC risk for individuals based on biomarker levels. This structured approach highlights the importance of AI in enhancing early BC detection and emphasizes the potential for personalized patient care through data-driven insights.</w:t>
      </w:r>
    </w:p>
    <w:p w14:paraId="29076079" w14:textId="77777777" w:rsidR="002148CC" w:rsidRPr="0040663E" w:rsidRDefault="002148CC" w:rsidP="002148CC">
      <w:pPr>
        <w:pStyle w:val="ListParagraph"/>
        <w:numPr>
          <w:ilvl w:val="0"/>
          <w:numId w:val="3"/>
        </w:numPr>
        <w:spacing w:line="276" w:lineRule="auto"/>
        <w:jc w:val="both"/>
        <w:rPr>
          <w:rFonts w:cstheme="minorHAnsi"/>
          <w:b/>
          <w:bCs/>
          <w:szCs w:val="22"/>
          <w:lang w:val="en-US"/>
        </w:rPr>
      </w:pPr>
      <w:r w:rsidRPr="0040663E">
        <w:rPr>
          <w:rFonts w:cstheme="minorHAnsi"/>
          <w:b/>
          <w:bCs/>
          <w:szCs w:val="22"/>
          <w:lang w:val="en-US"/>
        </w:rPr>
        <w:t>Reason for model selection</w:t>
      </w:r>
    </w:p>
    <w:p w14:paraId="1B0CCE03" w14:textId="77777777" w:rsidR="002148CC" w:rsidRPr="0040663E" w:rsidRDefault="002148CC" w:rsidP="002148CC">
      <w:pPr>
        <w:spacing w:line="276" w:lineRule="auto"/>
        <w:ind w:left="142"/>
        <w:jc w:val="both"/>
        <w:rPr>
          <w:rFonts w:cstheme="minorHAnsi"/>
        </w:rPr>
      </w:pPr>
      <w:r w:rsidRPr="0040663E">
        <w:rPr>
          <w:rFonts w:cstheme="minorHAnsi"/>
          <w:b/>
          <w:bCs/>
        </w:rPr>
        <w:t>Cross-Validation Score</w:t>
      </w:r>
      <w:r w:rsidRPr="0040663E">
        <w:rPr>
          <w:rFonts w:cstheme="minorHAnsi"/>
        </w:rPr>
        <w:t>: This is a good measure of how well the model generalizes to unseen data. Although all models have high accuracy on the test set, Random Forest has a slightly lower average cross-validation accuracy (0.8914) compared to others like Logistic Regression, SVM, KNN, and Gradient Boosting (</w:t>
      </w:r>
      <w:r w:rsidRPr="0040663E">
        <w:rPr>
          <w:rFonts w:cstheme="minorHAnsi"/>
          <w:vertAlign w:val="subscript"/>
        </w:rPr>
        <w:t>~</w:t>
      </w:r>
      <w:r w:rsidRPr="0040663E">
        <w:rPr>
          <w:rFonts w:cstheme="minorHAnsi"/>
        </w:rPr>
        <w:t>0.9018–0.9070).</w:t>
      </w:r>
    </w:p>
    <w:p w14:paraId="55480A94" w14:textId="2536ED02" w:rsidR="002148CC" w:rsidRPr="0040663E" w:rsidRDefault="002148CC" w:rsidP="002148CC">
      <w:pPr>
        <w:spacing w:line="276" w:lineRule="auto"/>
        <w:ind w:left="142"/>
        <w:jc w:val="both"/>
        <w:rPr>
          <w:rFonts w:cstheme="minorHAnsi"/>
          <w:lang w:val="en-US"/>
        </w:rPr>
      </w:pPr>
      <w:r w:rsidRPr="0040663E">
        <w:rPr>
          <w:rFonts w:cstheme="minorHAnsi"/>
          <w:b/>
          <w:bCs/>
        </w:rPr>
        <w:t>Overfitting</w:t>
      </w:r>
      <w:r w:rsidRPr="0040663E">
        <w:rPr>
          <w:rFonts w:cstheme="minorHAnsi"/>
        </w:rPr>
        <w:t xml:space="preserve">: Models like KNN and Random Forest can sometimes overfit, especially with smaller datasets. Even though they produce perfect accuracy on the test set, overfitting might be a </w:t>
      </w:r>
      <w:r w:rsidRPr="0040663E">
        <w:rPr>
          <w:rFonts w:cstheme="minorHAnsi"/>
        </w:rPr>
        <w:lastRenderedPageBreak/>
        <w:t>concern.</w:t>
      </w:r>
      <w:r w:rsidRPr="0040663E">
        <w:rPr>
          <w:rFonts w:cstheme="minorHAnsi"/>
          <w:lang w:val="en-US"/>
        </w:rPr>
        <w:t xml:space="preserve"> </w:t>
      </w:r>
      <w:r w:rsidRPr="0040663E">
        <w:rPr>
          <w:rFonts w:cstheme="minorHAnsi"/>
        </w:rPr>
        <w:t>Logistic Regression is less likely to overfit, especially on smaller datasets, because it is a linear model. It’s highly interpretable, allowing easy understanding of the relationship between input features and the outcome. The coefficients in Logistic Regression provide direct insights into the direction of influence (positive or negative) on the prediction.</w:t>
      </w:r>
      <w:r w:rsidRPr="0040663E">
        <w:rPr>
          <w:rFonts w:cstheme="minorHAnsi"/>
          <w:lang w:val="en-US"/>
        </w:rPr>
        <w:t xml:space="preserve"> The Logistic Regression model was selected due to its high interpretability and strong performance across the training and test sets. While other models like Random Forest and Gradient Boosting exhibited similarly high accuracy, Logistic Regression stands out for its simplicity and transparency, which are critical when understanding the influence of individual features on the predictions. The model's coefficients directly reflect the relationship between input variables and the target, making it easier to interpret the direction and magnitude of each feature’s impact. Additionally, with a 100% accuracy score on the test set and a competitive cross-validation average (0.9018), Logistic Regression provides a robust yet interpretable solution, aligning well with the need to balance performance and clarity in model behavior. This makes it especially suitable for applications where clear decision-making insights are essential</w:t>
      </w:r>
      <w:r w:rsidR="005D5C44" w:rsidRPr="0040663E">
        <w:rPr>
          <w:rFonts w:cstheme="minorHAnsi"/>
          <w:lang w:val="en-US"/>
        </w:rPr>
        <w:t xml:space="preserve"> [1</w:t>
      </w:r>
      <w:r w:rsidR="00F7514B" w:rsidRPr="0040663E">
        <w:rPr>
          <w:rFonts w:cstheme="minorHAnsi"/>
          <w:lang w:val="en-US"/>
        </w:rPr>
        <w:t xml:space="preserve">1, </w:t>
      </w:r>
      <w:r w:rsidR="005D5C44" w:rsidRPr="0040663E">
        <w:rPr>
          <w:rFonts w:cstheme="minorHAnsi"/>
          <w:lang w:val="en-US"/>
        </w:rPr>
        <w:t>1</w:t>
      </w:r>
      <w:r w:rsidR="00F7514B" w:rsidRPr="0040663E">
        <w:rPr>
          <w:rFonts w:cstheme="minorHAnsi"/>
          <w:lang w:val="en-US"/>
        </w:rPr>
        <w:t>2</w:t>
      </w:r>
      <w:r w:rsidR="005D5C44" w:rsidRPr="0040663E">
        <w:rPr>
          <w:rFonts w:cstheme="minorHAnsi"/>
          <w:lang w:val="en-US"/>
        </w:rPr>
        <w:t>]</w:t>
      </w:r>
      <w:r w:rsidRPr="0040663E">
        <w:rPr>
          <w:rFonts w:cstheme="minorHAnsi"/>
          <w:lang w:val="en-US"/>
        </w:rPr>
        <w:t>.</w:t>
      </w:r>
    </w:p>
    <w:p w14:paraId="523ABD9C" w14:textId="49D331CF" w:rsidR="00F71643" w:rsidRPr="0040663E" w:rsidRDefault="00F71643" w:rsidP="00F71643">
      <w:pPr>
        <w:pStyle w:val="NormalWeb"/>
        <w:spacing w:after="0" w:line="276" w:lineRule="auto"/>
        <w:ind w:left="142"/>
        <w:jc w:val="both"/>
        <w:rPr>
          <w:rFonts w:asciiTheme="minorHAnsi" w:hAnsiTheme="minorHAnsi" w:cstheme="minorHAnsi"/>
          <w:b/>
          <w:bCs/>
          <w:color w:val="000000" w:themeColor="text1"/>
          <w:sz w:val="22"/>
          <w:szCs w:val="22"/>
        </w:rPr>
      </w:pPr>
      <w:r w:rsidRPr="0040663E">
        <w:rPr>
          <w:rFonts w:asciiTheme="minorHAnsi" w:hAnsiTheme="minorHAnsi" w:cstheme="minorHAnsi"/>
          <w:b/>
          <w:bCs/>
          <w:color w:val="000000" w:themeColor="text1"/>
          <w:sz w:val="22"/>
          <w:szCs w:val="22"/>
        </w:rPr>
        <w:t>Statistical analysis</w:t>
      </w:r>
    </w:p>
    <w:p w14:paraId="3288DA72" w14:textId="77777777" w:rsidR="00F71643" w:rsidRPr="0040663E" w:rsidRDefault="00F71643" w:rsidP="00F71643">
      <w:pPr>
        <w:pStyle w:val="NormalWeb"/>
        <w:spacing w:after="0" w:line="276" w:lineRule="auto"/>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 xml:space="preserve">Data were analyzed for statistical significance using an unpaired t-test with Welch's correction and two-way ANOVA with multiple comparison tests using GraphPad-Prism version 8 (GraphPad Software, CA, USA). </w:t>
      </w:r>
    </w:p>
    <w:p w14:paraId="6808FB4B" w14:textId="77777777" w:rsidR="00630FFD" w:rsidRPr="0040663E" w:rsidRDefault="00630FFD" w:rsidP="00F71643">
      <w:pPr>
        <w:pStyle w:val="NormalWeb"/>
        <w:spacing w:after="0" w:line="276" w:lineRule="auto"/>
        <w:ind w:left="142"/>
        <w:jc w:val="both"/>
        <w:rPr>
          <w:rFonts w:asciiTheme="minorHAnsi" w:hAnsiTheme="minorHAnsi" w:cstheme="minorHAnsi"/>
          <w:b/>
          <w:bCs/>
          <w:color w:val="000000" w:themeColor="text1"/>
          <w:sz w:val="22"/>
          <w:szCs w:val="22"/>
        </w:rPr>
      </w:pPr>
    </w:p>
    <w:p w14:paraId="6A0F93A8" w14:textId="77777777" w:rsidR="005531C4" w:rsidRPr="0040663E" w:rsidRDefault="005531C4" w:rsidP="000C77DD">
      <w:pPr>
        <w:rPr>
          <w:rFonts w:cstheme="minorHAnsi"/>
          <w:b/>
          <w:bCs/>
          <w:sz w:val="24"/>
          <w:szCs w:val="24"/>
        </w:rPr>
      </w:pPr>
    </w:p>
    <w:p w14:paraId="145B1F5F" w14:textId="77777777" w:rsidR="005531C4" w:rsidRPr="0040663E" w:rsidRDefault="005531C4" w:rsidP="000C77DD">
      <w:pPr>
        <w:rPr>
          <w:rFonts w:cstheme="minorHAnsi"/>
          <w:b/>
          <w:bCs/>
          <w:sz w:val="24"/>
          <w:szCs w:val="24"/>
        </w:rPr>
      </w:pPr>
    </w:p>
    <w:p w14:paraId="107F8D35" w14:textId="77777777" w:rsidR="005224DF" w:rsidRPr="0040663E" w:rsidRDefault="005224DF" w:rsidP="000C77DD">
      <w:pPr>
        <w:rPr>
          <w:rFonts w:cstheme="minorHAnsi"/>
          <w:b/>
          <w:bCs/>
          <w:sz w:val="24"/>
          <w:szCs w:val="24"/>
        </w:rPr>
      </w:pPr>
    </w:p>
    <w:p w14:paraId="562AAA7D" w14:textId="77777777" w:rsidR="005224DF" w:rsidRPr="0040663E" w:rsidRDefault="005224DF" w:rsidP="000C77DD">
      <w:pPr>
        <w:rPr>
          <w:rFonts w:cstheme="minorHAnsi"/>
          <w:b/>
          <w:bCs/>
          <w:sz w:val="24"/>
          <w:szCs w:val="24"/>
        </w:rPr>
      </w:pPr>
    </w:p>
    <w:p w14:paraId="263E3AED" w14:textId="77777777" w:rsidR="005224DF" w:rsidRPr="0040663E" w:rsidRDefault="005224DF" w:rsidP="000C77DD">
      <w:pPr>
        <w:rPr>
          <w:rFonts w:cstheme="minorHAnsi"/>
          <w:b/>
          <w:bCs/>
          <w:sz w:val="24"/>
          <w:szCs w:val="24"/>
        </w:rPr>
      </w:pPr>
    </w:p>
    <w:p w14:paraId="66DF4020" w14:textId="77777777" w:rsidR="005224DF" w:rsidRPr="0040663E" w:rsidRDefault="005224DF" w:rsidP="000C77DD">
      <w:pPr>
        <w:rPr>
          <w:rFonts w:cstheme="minorHAnsi"/>
          <w:b/>
          <w:bCs/>
          <w:sz w:val="24"/>
          <w:szCs w:val="24"/>
        </w:rPr>
      </w:pPr>
    </w:p>
    <w:p w14:paraId="699F9498" w14:textId="77777777" w:rsidR="005224DF" w:rsidRPr="0040663E" w:rsidRDefault="005224DF" w:rsidP="000C77DD">
      <w:pPr>
        <w:rPr>
          <w:rFonts w:cstheme="minorHAnsi"/>
          <w:b/>
          <w:bCs/>
          <w:sz w:val="24"/>
          <w:szCs w:val="24"/>
        </w:rPr>
      </w:pPr>
    </w:p>
    <w:p w14:paraId="6F443647" w14:textId="77777777" w:rsidR="005224DF" w:rsidRPr="0040663E" w:rsidRDefault="005224DF" w:rsidP="000C77DD">
      <w:pPr>
        <w:rPr>
          <w:rFonts w:cstheme="minorHAnsi"/>
          <w:b/>
          <w:bCs/>
          <w:sz w:val="24"/>
          <w:szCs w:val="24"/>
        </w:rPr>
      </w:pPr>
    </w:p>
    <w:p w14:paraId="74F221A1" w14:textId="77777777" w:rsidR="005224DF" w:rsidRPr="0040663E" w:rsidRDefault="005224DF" w:rsidP="000C77DD">
      <w:pPr>
        <w:rPr>
          <w:rFonts w:cstheme="minorHAnsi"/>
          <w:b/>
          <w:bCs/>
          <w:sz w:val="24"/>
          <w:szCs w:val="24"/>
        </w:rPr>
      </w:pPr>
    </w:p>
    <w:p w14:paraId="2B112154" w14:textId="77777777" w:rsidR="005224DF" w:rsidRPr="0040663E" w:rsidRDefault="005224DF" w:rsidP="000C77DD">
      <w:pPr>
        <w:rPr>
          <w:rFonts w:cstheme="minorHAnsi"/>
          <w:b/>
          <w:bCs/>
          <w:sz w:val="24"/>
          <w:szCs w:val="24"/>
        </w:rPr>
      </w:pPr>
    </w:p>
    <w:p w14:paraId="499AE959" w14:textId="77777777" w:rsidR="005224DF" w:rsidRPr="0040663E" w:rsidRDefault="005224DF" w:rsidP="000C77DD">
      <w:pPr>
        <w:rPr>
          <w:rFonts w:cstheme="minorHAnsi"/>
          <w:b/>
          <w:bCs/>
          <w:sz w:val="24"/>
          <w:szCs w:val="24"/>
        </w:rPr>
      </w:pPr>
    </w:p>
    <w:p w14:paraId="594B08E7" w14:textId="77777777" w:rsidR="005224DF" w:rsidRPr="0040663E" w:rsidRDefault="005224DF" w:rsidP="000C77DD">
      <w:pPr>
        <w:rPr>
          <w:rFonts w:cstheme="minorHAnsi"/>
          <w:b/>
          <w:bCs/>
          <w:sz w:val="24"/>
          <w:szCs w:val="24"/>
        </w:rPr>
      </w:pPr>
    </w:p>
    <w:p w14:paraId="7F9B8A61" w14:textId="77777777" w:rsidR="005224DF" w:rsidRPr="0040663E" w:rsidRDefault="005224DF" w:rsidP="000C77DD">
      <w:pPr>
        <w:rPr>
          <w:rFonts w:cstheme="minorHAnsi"/>
          <w:b/>
          <w:bCs/>
          <w:sz w:val="24"/>
          <w:szCs w:val="24"/>
        </w:rPr>
      </w:pPr>
    </w:p>
    <w:p w14:paraId="0495D553" w14:textId="77777777" w:rsidR="005224DF" w:rsidRPr="0040663E" w:rsidRDefault="005224DF" w:rsidP="000C77DD">
      <w:pPr>
        <w:rPr>
          <w:rFonts w:cstheme="minorHAnsi"/>
          <w:b/>
          <w:bCs/>
          <w:sz w:val="24"/>
          <w:szCs w:val="24"/>
        </w:rPr>
      </w:pPr>
    </w:p>
    <w:p w14:paraId="50F38AF2" w14:textId="77777777" w:rsidR="005224DF" w:rsidRPr="0040663E" w:rsidRDefault="005224DF" w:rsidP="000C77DD">
      <w:pPr>
        <w:rPr>
          <w:rFonts w:cstheme="minorHAnsi"/>
          <w:b/>
          <w:bCs/>
          <w:sz w:val="24"/>
          <w:szCs w:val="24"/>
        </w:rPr>
      </w:pPr>
    </w:p>
    <w:p w14:paraId="552BEDDC" w14:textId="0A6C809A" w:rsidR="005531C4" w:rsidRPr="0040663E" w:rsidRDefault="00E86A66" w:rsidP="000C77DD">
      <w:pPr>
        <w:rPr>
          <w:rFonts w:cstheme="minorHAnsi"/>
          <w:b/>
          <w:bCs/>
          <w:sz w:val="24"/>
          <w:szCs w:val="24"/>
        </w:rPr>
      </w:pPr>
      <w:r w:rsidRPr="0040663E">
        <w:rPr>
          <w:rFonts w:cstheme="minorHAnsi"/>
          <w:b/>
          <w:bCs/>
          <w:sz w:val="24"/>
          <w:szCs w:val="24"/>
        </w:rPr>
        <w:lastRenderedPageBreak/>
        <w:t>Figures</w:t>
      </w:r>
    </w:p>
    <w:p w14:paraId="29D6C465" w14:textId="2E1B75C9" w:rsidR="00E86A66" w:rsidRPr="0040663E" w:rsidRDefault="00E86A66" w:rsidP="000C77DD">
      <w:pPr>
        <w:rPr>
          <w:rFonts w:cstheme="minorHAnsi"/>
          <w:b/>
          <w:bCs/>
          <w:sz w:val="24"/>
          <w:szCs w:val="24"/>
        </w:rPr>
      </w:pPr>
      <w:r w:rsidRPr="0040663E">
        <w:rPr>
          <w:rFonts w:cstheme="minorHAnsi"/>
          <w:b/>
          <w:bCs/>
          <w:sz w:val="24"/>
          <w:szCs w:val="24"/>
        </w:rPr>
        <w:t>Figure</w:t>
      </w:r>
      <w:r w:rsidR="00B60AF2" w:rsidRPr="0040663E">
        <w:rPr>
          <w:rFonts w:cstheme="minorHAnsi"/>
          <w:b/>
          <w:bCs/>
          <w:sz w:val="24"/>
          <w:szCs w:val="24"/>
        </w:rPr>
        <w:t xml:space="preserve"> S1:</w:t>
      </w:r>
    </w:p>
    <w:p w14:paraId="37DCFA12" w14:textId="77777777" w:rsidR="003F55A4" w:rsidRPr="0040663E" w:rsidRDefault="003F55A4" w:rsidP="003F55A4">
      <w:pPr>
        <w:pStyle w:val="NormalWeb"/>
        <w:spacing w:line="276" w:lineRule="auto"/>
        <w:ind w:left="142"/>
        <w:jc w:val="both"/>
        <w:rPr>
          <w:rFonts w:asciiTheme="minorHAnsi" w:hAnsiTheme="minorHAnsi" w:cstheme="minorHAnsi"/>
          <w:b/>
          <w:bCs/>
          <w:color w:val="000000" w:themeColor="text1"/>
          <w:sz w:val="22"/>
          <w:szCs w:val="22"/>
        </w:rPr>
      </w:pPr>
      <w:r w:rsidRPr="0040663E">
        <w:rPr>
          <w:noProof/>
          <w:lang w:val="en-US" w:eastAsia="en-US" w:bidi="fa-IR"/>
        </w:rPr>
        <w:drawing>
          <wp:inline distT="0" distB="0" distL="0" distR="0" wp14:anchorId="48B5D501" wp14:editId="02B9542B">
            <wp:extent cx="5731510" cy="4424680"/>
            <wp:effectExtent l="0" t="0" r="2540" b="0"/>
            <wp:docPr id="1072261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424680"/>
                    </a:xfrm>
                    <a:prstGeom prst="rect">
                      <a:avLst/>
                    </a:prstGeom>
                    <a:noFill/>
                    <a:ln>
                      <a:noFill/>
                    </a:ln>
                  </pic:spPr>
                </pic:pic>
              </a:graphicData>
            </a:graphic>
          </wp:inline>
        </w:drawing>
      </w:r>
    </w:p>
    <w:p w14:paraId="337247E7" w14:textId="6E8260FB" w:rsidR="003F55A4" w:rsidRPr="0040663E" w:rsidRDefault="003F55A4" w:rsidP="003F55A4">
      <w:pPr>
        <w:pStyle w:val="NormalWeb"/>
        <w:spacing w:line="276" w:lineRule="auto"/>
        <w:ind w:left="142"/>
        <w:jc w:val="both"/>
        <w:rPr>
          <w:rFonts w:asciiTheme="minorHAnsi" w:hAnsiTheme="minorHAnsi" w:cstheme="minorHAnsi"/>
          <w:b/>
          <w:bCs/>
          <w:color w:val="000000" w:themeColor="text1"/>
          <w:sz w:val="22"/>
          <w:szCs w:val="22"/>
        </w:rPr>
      </w:pPr>
      <w:r w:rsidRPr="0040663E">
        <w:rPr>
          <w:rFonts w:asciiTheme="minorHAnsi" w:hAnsiTheme="minorHAnsi" w:cstheme="minorHAnsi"/>
          <w:b/>
          <w:bCs/>
          <w:color w:val="000000" w:themeColor="text1"/>
          <w:sz w:val="22"/>
          <w:szCs w:val="22"/>
        </w:rPr>
        <w:t xml:space="preserve">Figure </w:t>
      </w:r>
      <w:r w:rsidR="00B60AF2" w:rsidRPr="0040663E">
        <w:rPr>
          <w:rFonts w:asciiTheme="minorHAnsi" w:hAnsiTheme="minorHAnsi" w:cstheme="minorHAnsi"/>
          <w:b/>
          <w:bCs/>
          <w:color w:val="000000" w:themeColor="text1"/>
          <w:sz w:val="22"/>
          <w:szCs w:val="22"/>
        </w:rPr>
        <w:t>S</w:t>
      </w:r>
      <w:r w:rsidRPr="0040663E">
        <w:rPr>
          <w:rFonts w:asciiTheme="minorHAnsi" w:hAnsiTheme="minorHAnsi" w:cstheme="minorHAnsi"/>
          <w:b/>
          <w:bCs/>
          <w:color w:val="000000" w:themeColor="text1"/>
          <w:sz w:val="22"/>
          <w:szCs w:val="22"/>
        </w:rPr>
        <w:t xml:space="preserve">1. </w:t>
      </w:r>
      <w:r w:rsidRPr="0040663E">
        <w:rPr>
          <w:rFonts w:asciiTheme="minorHAnsi" w:hAnsiTheme="minorHAnsi" w:cstheme="minorHAnsi"/>
          <w:color w:val="000000" w:themeColor="text1"/>
          <w:sz w:val="22"/>
          <w:szCs w:val="22"/>
        </w:rPr>
        <w:t>Geographic locations of the sample collection site in Madhya Pradesh, India.</w:t>
      </w:r>
      <w:r w:rsidRPr="0040663E">
        <w:rPr>
          <w:rFonts w:asciiTheme="minorHAnsi" w:eastAsiaTheme="minorHAnsi" w:hAnsiTheme="minorHAnsi" w:cstheme="minorBidi"/>
          <w:kern w:val="2"/>
          <w:sz w:val="22"/>
          <w:szCs w:val="22"/>
          <w:lang w:eastAsia="en-US"/>
        </w:rPr>
        <w:t xml:space="preserve"> </w:t>
      </w:r>
      <w:r w:rsidRPr="0040663E">
        <w:rPr>
          <w:rFonts w:asciiTheme="minorHAnsi" w:hAnsiTheme="minorHAnsi" w:cstheme="minorHAnsi"/>
          <w:color w:val="000000" w:themeColor="text1"/>
          <w:sz w:val="22"/>
          <w:szCs w:val="22"/>
        </w:rPr>
        <w:t>Biological samples were collected from six districts: Morena (26.4942° N, 78.0010° E), Sagar (23.8388° N, 78.7378° E), Chhindwara (22.0574° N, 78.9382° E), Gwalior (26.2183° N, 78.1828° E), Dhar (22.6013° N, 75.3020° E), and Betul (21.9120° N, 77.9017° E). These coordinates provide spatial context for the study, enhancing reproducibility and providing environmental context for interpreting biological variability and associated health risks, particularly in relation to household air pollution exposure.</w:t>
      </w:r>
    </w:p>
    <w:p w14:paraId="423D27B5" w14:textId="77777777" w:rsidR="003F55A4" w:rsidRPr="0040663E" w:rsidRDefault="003F55A4" w:rsidP="003F55A4">
      <w:pPr>
        <w:pStyle w:val="NormalWeb"/>
        <w:spacing w:line="276" w:lineRule="auto"/>
        <w:ind w:left="142"/>
        <w:jc w:val="both"/>
        <w:rPr>
          <w:rFonts w:asciiTheme="minorHAnsi" w:hAnsiTheme="minorHAnsi" w:cstheme="minorHAnsi"/>
          <w:b/>
          <w:bCs/>
          <w:color w:val="000000" w:themeColor="text1"/>
          <w:sz w:val="22"/>
          <w:szCs w:val="22"/>
        </w:rPr>
      </w:pPr>
    </w:p>
    <w:p w14:paraId="3F292CD6" w14:textId="77777777" w:rsidR="003F55A4" w:rsidRPr="0040663E" w:rsidRDefault="003F55A4" w:rsidP="003F55A4">
      <w:pPr>
        <w:pStyle w:val="NormalWeb"/>
        <w:spacing w:line="276" w:lineRule="auto"/>
        <w:ind w:left="142"/>
        <w:jc w:val="both"/>
        <w:rPr>
          <w:rFonts w:asciiTheme="minorHAnsi" w:hAnsiTheme="minorHAnsi" w:cstheme="minorHAnsi"/>
          <w:b/>
          <w:bCs/>
          <w:color w:val="000000" w:themeColor="text1"/>
          <w:sz w:val="22"/>
          <w:szCs w:val="22"/>
        </w:rPr>
      </w:pPr>
    </w:p>
    <w:p w14:paraId="29A9DEAB" w14:textId="77777777" w:rsidR="003F55A4" w:rsidRPr="0040663E" w:rsidRDefault="003F55A4" w:rsidP="003F55A4">
      <w:pPr>
        <w:pStyle w:val="NormalWeb"/>
        <w:spacing w:line="276" w:lineRule="auto"/>
        <w:ind w:left="142"/>
        <w:jc w:val="both"/>
        <w:rPr>
          <w:rFonts w:asciiTheme="minorHAnsi" w:hAnsiTheme="minorHAnsi" w:cstheme="minorHAnsi"/>
          <w:b/>
          <w:bCs/>
          <w:color w:val="000000" w:themeColor="text1"/>
          <w:sz w:val="22"/>
          <w:szCs w:val="22"/>
        </w:rPr>
      </w:pPr>
    </w:p>
    <w:p w14:paraId="74D00030" w14:textId="77777777" w:rsidR="003F55A4" w:rsidRPr="0040663E" w:rsidRDefault="003F55A4" w:rsidP="003F55A4">
      <w:pPr>
        <w:pStyle w:val="NormalWeb"/>
        <w:spacing w:line="276" w:lineRule="auto"/>
        <w:ind w:left="142"/>
        <w:jc w:val="both"/>
        <w:rPr>
          <w:rFonts w:asciiTheme="minorHAnsi" w:hAnsiTheme="minorHAnsi" w:cstheme="minorHAnsi"/>
          <w:b/>
          <w:bCs/>
          <w:color w:val="000000" w:themeColor="text1"/>
          <w:sz w:val="22"/>
          <w:szCs w:val="22"/>
        </w:rPr>
      </w:pPr>
    </w:p>
    <w:p w14:paraId="6AA428DF" w14:textId="77777777" w:rsidR="003F55A4" w:rsidRPr="0040663E" w:rsidRDefault="003F55A4" w:rsidP="003F55A4">
      <w:pPr>
        <w:pStyle w:val="NormalWeb"/>
        <w:spacing w:line="276" w:lineRule="auto"/>
        <w:ind w:left="142"/>
        <w:jc w:val="both"/>
        <w:rPr>
          <w:rFonts w:asciiTheme="minorHAnsi" w:hAnsiTheme="minorHAnsi" w:cstheme="minorHAnsi"/>
          <w:b/>
          <w:bCs/>
          <w:color w:val="000000" w:themeColor="text1"/>
          <w:sz w:val="22"/>
          <w:szCs w:val="22"/>
        </w:rPr>
      </w:pPr>
    </w:p>
    <w:p w14:paraId="25F003D3" w14:textId="77777777" w:rsidR="003F55A4" w:rsidRPr="0040663E" w:rsidRDefault="003F55A4" w:rsidP="003F55A4">
      <w:pPr>
        <w:pStyle w:val="NormalWeb"/>
        <w:spacing w:line="276" w:lineRule="auto"/>
        <w:ind w:left="142"/>
        <w:jc w:val="both"/>
        <w:rPr>
          <w:rFonts w:asciiTheme="minorHAnsi" w:hAnsiTheme="minorHAnsi" w:cstheme="minorHAnsi"/>
          <w:b/>
          <w:bCs/>
          <w:color w:val="000000" w:themeColor="text1"/>
          <w:sz w:val="22"/>
          <w:szCs w:val="22"/>
        </w:rPr>
      </w:pPr>
      <w:r w:rsidRPr="0040663E">
        <w:rPr>
          <w:noProof/>
          <w:lang w:val="en-US" w:eastAsia="en-US" w:bidi="fa-IR"/>
        </w:rPr>
        <w:lastRenderedPageBreak/>
        <w:drawing>
          <wp:inline distT="0" distB="0" distL="0" distR="0" wp14:anchorId="1ADEB011" wp14:editId="6C1549BA">
            <wp:extent cx="5731510" cy="4505960"/>
            <wp:effectExtent l="0" t="0" r="2540" b="8890"/>
            <wp:docPr id="557760209"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60209" name="Picture 2" descr="A screenshot of a graph&#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505960"/>
                    </a:xfrm>
                    <a:prstGeom prst="rect">
                      <a:avLst/>
                    </a:prstGeom>
                    <a:noFill/>
                    <a:ln>
                      <a:noFill/>
                    </a:ln>
                  </pic:spPr>
                </pic:pic>
              </a:graphicData>
            </a:graphic>
          </wp:inline>
        </w:drawing>
      </w:r>
    </w:p>
    <w:p w14:paraId="03CF7485" w14:textId="02D51323" w:rsidR="003F55A4" w:rsidRPr="0040663E" w:rsidRDefault="003F55A4" w:rsidP="003F55A4">
      <w:pPr>
        <w:pStyle w:val="NormalWeb"/>
        <w:spacing w:line="276" w:lineRule="auto"/>
        <w:ind w:left="142"/>
        <w:jc w:val="both"/>
        <w:rPr>
          <w:rFonts w:asciiTheme="minorHAnsi" w:hAnsiTheme="minorHAnsi" w:cstheme="minorHAnsi"/>
          <w:color w:val="000000" w:themeColor="text1"/>
          <w:sz w:val="22"/>
          <w:szCs w:val="22"/>
        </w:rPr>
      </w:pPr>
      <w:r w:rsidRPr="0040663E">
        <w:rPr>
          <w:rFonts w:asciiTheme="minorHAnsi" w:hAnsiTheme="minorHAnsi" w:cstheme="minorHAnsi"/>
          <w:b/>
          <w:bCs/>
          <w:color w:val="000000" w:themeColor="text1"/>
          <w:sz w:val="22"/>
          <w:szCs w:val="22"/>
        </w:rPr>
        <w:t xml:space="preserve">Figure </w:t>
      </w:r>
      <w:r w:rsidR="00E31A08" w:rsidRPr="0040663E">
        <w:rPr>
          <w:rFonts w:asciiTheme="minorHAnsi" w:hAnsiTheme="minorHAnsi" w:cstheme="minorHAnsi"/>
          <w:b/>
          <w:bCs/>
          <w:color w:val="000000" w:themeColor="text1"/>
          <w:sz w:val="22"/>
          <w:szCs w:val="22"/>
        </w:rPr>
        <w:t>S</w:t>
      </w:r>
      <w:r w:rsidRPr="0040663E">
        <w:rPr>
          <w:rFonts w:asciiTheme="minorHAnsi" w:hAnsiTheme="minorHAnsi" w:cstheme="minorHAnsi"/>
          <w:b/>
          <w:bCs/>
          <w:color w:val="000000" w:themeColor="text1"/>
          <w:sz w:val="22"/>
          <w:szCs w:val="22"/>
        </w:rPr>
        <w:t xml:space="preserve">2. </w:t>
      </w:r>
      <w:r w:rsidRPr="0040663E">
        <w:rPr>
          <w:rFonts w:asciiTheme="minorHAnsi" w:hAnsiTheme="minorHAnsi" w:cstheme="minorHAnsi"/>
          <w:color w:val="000000" w:themeColor="text1"/>
          <w:sz w:val="22"/>
          <w:szCs w:val="22"/>
        </w:rPr>
        <w:t>The graph showcases the correlations between chronological age (AG), annual PM</w:t>
      </w:r>
      <w:r w:rsidRPr="0040663E">
        <w:rPr>
          <w:rFonts w:asciiTheme="minorHAnsi" w:hAnsiTheme="minorHAnsi" w:cstheme="minorHAnsi"/>
          <w:color w:val="000000" w:themeColor="text1"/>
          <w:sz w:val="22"/>
          <w:szCs w:val="22"/>
          <w:vertAlign w:val="subscript"/>
        </w:rPr>
        <w:t xml:space="preserve">2.5 </w:t>
      </w:r>
      <w:r w:rsidRPr="0040663E">
        <w:rPr>
          <w:rFonts w:asciiTheme="minorHAnsi" w:hAnsiTheme="minorHAnsi" w:cstheme="minorHAnsi"/>
          <w:color w:val="000000" w:themeColor="text1"/>
          <w:sz w:val="22"/>
          <w:szCs w:val="22"/>
        </w:rPr>
        <w:t>concentration (PM), and TE to air pollution. Using Pearson correlation coefficients (r), the visualizations provide insights into the relationships among these factors. AG vs PM: The heatmap shows a very weak negative correlation (-0.04) between age and particulate matter, meaning age minimally impacts PM exposure. AG vs TE: A positive correlation (0.53) between age and total exposure exists. This indicates that total exposure increases as age increases, though not strongly. PM vs TE: A strong positive correlation (0.66) between particulate matter levels and total exposure is observed. Higher PM levels are associated with increased total exposure. The scatter plot shows a clear upward trend, illustrating the positive correlation between particulate matter levels, total exposure, and age. Total exposure fluctuates more significantly than age and particulate matter, indicating greater variability.</w:t>
      </w:r>
    </w:p>
    <w:p w14:paraId="50C393D3" w14:textId="77777777" w:rsidR="0006179C" w:rsidRPr="0040663E" w:rsidRDefault="0006179C" w:rsidP="0006179C">
      <w:pPr>
        <w:pStyle w:val="NormalWeb"/>
        <w:spacing w:line="276" w:lineRule="auto"/>
        <w:ind w:left="142"/>
        <w:jc w:val="both"/>
        <w:rPr>
          <w:rFonts w:asciiTheme="minorHAnsi" w:hAnsiTheme="minorHAnsi" w:cstheme="minorHAnsi"/>
          <w:b/>
          <w:bCs/>
          <w:color w:val="000000" w:themeColor="text1"/>
          <w:sz w:val="22"/>
          <w:szCs w:val="22"/>
        </w:rPr>
      </w:pPr>
    </w:p>
    <w:p w14:paraId="7A0ADDC4" w14:textId="77777777" w:rsidR="0006179C" w:rsidRPr="0040663E" w:rsidRDefault="0006179C" w:rsidP="0006179C">
      <w:pPr>
        <w:pStyle w:val="NormalWeb"/>
        <w:spacing w:line="276" w:lineRule="auto"/>
        <w:ind w:left="142"/>
        <w:jc w:val="both"/>
        <w:rPr>
          <w:rFonts w:asciiTheme="minorHAnsi" w:hAnsiTheme="minorHAnsi" w:cstheme="minorHAnsi"/>
          <w:b/>
          <w:bCs/>
          <w:color w:val="000000" w:themeColor="text1"/>
          <w:sz w:val="22"/>
          <w:szCs w:val="22"/>
        </w:rPr>
      </w:pPr>
    </w:p>
    <w:p w14:paraId="0DEA996C" w14:textId="77777777" w:rsidR="0006179C" w:rsidRPr="0040663E" w:rsidRDefault="0006179C" w:rsidP="0006179C">
      <w:pPr>
        <w:pStyle w:val="NormalWeb"/>
        <w:spacing w:line="276" w:lineRule="auto"/>
        <w:ind w:left="142"/>
        <w:jc w:val="both"/>
        <w:rPr>
          <w:rFonts w:asciiTheme="minorHAnsi" w:hAnsiTheme="minorHAnsi" w:cstheme="minorHAnsi"/>
          <w:b/>
          <w:bCs/>
          <w:color w:val="000000" w:themeColor="text1"/>
          <w:sz w:val="22"/>
          <w:szCs w:val="22"/>
        </w:rPr>
      </w:pPr>
      <w:r w:rsidRPr="0040663E">
        <w:rPr>
          <w:noProof/>
          <w:lang w:val="en-US" w:eastAsia="en-US" w:bidi="fa-IR"/>
        </w:rPr>
        <w:lastRenderedPageBreak/>
        <w:drawing>
          <wp:inline distT="0" distB="0" distL="0" distR="0" wp14:anchorId="5AAE93C1" wp14:editId="76674BBF">
            <wp:extent cx="5731510" cy="3393440"/>
            <wp:effectExtent l="0" t="0" r="2540" b="0"/>
            <wp:docPr id="256026239" name="Picture 3" descr="A group of graphs showing the results of a scientific experi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6239" name="Picture 3" descr="A group of graphs showing the results of a scientific experimen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393440"/>
                    </a:xfrm>
                    <a:prstGeom prst="rect">
                      <a:avLst/>
                    </a:prstGeom>
                    <a:noFill/>
                    <a:ln>
                      <a:noFill/>
                    </a:ln>
                  </pic:spPr>
                </pic:pic>
              </a:graphicData>
            </a:graphic>
          </wp:inline>
        </w:drawing>
      </w:r>
    </w:p>
    <w:p w14:paraId="7C0C8964" w14:textId="434BDFA2" w:rsidR="0006179C" w:rsidRPr="0040663E" w:rsidRDefault="0006179C" w:rsidP="0006179C">
      <w:pPr>
        <w:pStyle w:val="ListParagraph"/>
        <w:spacing w:before="240" w:line="276" w:lineRule="auto"/>
        <w:ind w:left="142"/>
        <w:jc w:val="both"/>
        <w:rPr>
          <w:rFonts w:eastAsiaTheme="minorEastAsia" w:cstheme="minorHAnsi"/>
          <w:bCs/>
          <w:color w:val="000000" w:themeColor="text1"/>
          <w:szCs w:val="22"/>
        </w:rPr>
      </w:pPr>
      <w:r w:rsidRPr="0040663E">
        <w:rPr>
          <w:rFonts w:eastAsiaTheme="minorEastAsia" w:cstheme="minorHAnsi"/>
          <w:b/>
          <w:color w:val="000000" w:themeColor="text1"/>
          <w:szCs w:val="22"/>
        </w:rPr>
        <w:t xml:space="preserve">Figure </w:t>
      </w:r>
      <w:r w:rsidR="00E31A08" w:rsidRPr="0040663E">
        <w:rPr>
          <w:rFonts w:eastAsiaTheme="minorEastAsia" w:cstheme="minorHAnsi"/>
          <w:b/>
          <w:color w:val="000000" w:themeColor="text1"/>
          <w:szCs w:val="22"/>
        </w:rPr>
        <w:t>S</w:t>
      </w:r>
      <w:r w:rsidRPr="0040663E">
        <w:rPr>
          <w:rFonts w:eastAsiaTheme="minorEastAsia" w:cstheme="minorHAnsi"/>
          <w:b/>
          <w:color w:val="000000" w:themeColor="text1"/>
          <w:szCs w:val="22"/>
        </w:rPr>
        <w:t xml:space="preserve">3. </w:t>
      </w:r>
      <w:r w:rsidRPr="0040663E">
        <w:rPr>
          <w:rFonts w:eastAsiaTheme="minorEastAsia" w:cstheme="minorHAnsi"/>
          <w:bCs/>
          <w:color w:val="000000" w:themeColor="text1"/>
          <w:szCs w:val="22"/>
        </w:rPr>
        <w:t xml:space="preserve">Correlation analysis of cytokine concentrations with age and their interrelationships in the context of immune response and BC risk. </w:t>
      </w:r>
      <w:r w:rsidRPr="0040663E">
        <w:rPr>
          <w:rFonts w:eastAsiaTheme="minorEastAsia" w:cstheme="minorHAnsi"/>
          <w:b/>
          <w:bCs/>
          <w:color w:val="000000" w:themeColor="text1"/>
          <w:szCs w:val="22"/>
        </w:rPr>
        <w:t>a)</w:t>
      </w:r>
      <w:r w:rsidRPr="0040663E">
        <w:rPr>
          <w:rFonts w:eastAsiaTheme="minorEastAsia" w:cstheme="minorHAnsi"/>
          <w:bCs/>
          <w:color w:val="000000" w:themeColor="text1"/>
          <w:szCs w:val="22"/>
        </w:rPr>
        <w:t xml:space="preserve"> Scatter plot with age on the x-axis and IL-6 concentration on the y-axis, depicting the positive correlation that illustrates the increase in IL-6 levels with advancing age. </w:t>
      </w:r>
      <w:r w:rsidRPr="0040663E">
        <w:rPr>
          <w:rFonts w:eastAsiaTheme="minorEastAsia" w:cstheme="minorHAnsi"/>
          <w:b/>
          <w:color w:val="000000" w:themeColor="text1"/>
          <w:szCs w:val="22"/>
        </w:rPr>
        <w:t>b</w:t>
      </w:r>
      <w:r w:rsidRPr="0040663E">
        <w:rPr>
          <w:rFonts w:eastAsiaTheme="minorEastAsia" w:cstheme="minorHAnsi"/>
          <w:b/>
          <w:bCs/>
          <w:color w:val="000000" w:themeColor="text1"/>
          <w:szCs w:val="22"/>
        </w:rPr>
        <w:t>)</w:t>
      </w:r>
      <w:r w:rsidRPr="0040663E">
        <w:rPr>
          <w:rFonts w:eastAsiaTheme="minorEastAsia" w:cstheme="minorHAnsi"/>
          <w:bCs/>
          <w:color w:val="000000" w:themeColor="text1"/>
          <w:szCs w:val="22"/>
        </w:rPr>
        <w:t xml:space="preserve"> Scatter plot with TNF-α on the x-axis and IL-6 on the y-axis, showing the strong correlation between these pro-inflammatory cytokines. </w:t>
      </w:r>
      <w:r w:rsidRPr="0040663E">
        <w:rPr>
          <w:rFonts w:eastAsiaTheme="minorEastAsia" w:cstheme="minorHAnsi"/>
          <w:b/>
          <w:bCs/>
          <w:color w:val="000000" w:themeColor="text1"/>
          <w:szCs w:val="22"/>
        </w:rPr>
        <w:t>c)</w:t>
      </w:r>
      <w:r w:rsidRPr="0040663E">
        <w:rPr>
          <w:rFonts w:eastAsiaTheme="minorEastAsia" w:cstheme="minorHAnsi"/>
          <w:bCs/>
          <w:color w:val="000000" w:themeColor="text1"/>
          <w:szCs w:val="22"/>
        </w:rPr>
        <w:t xml:space="preserve"> Scatter plot with age on the x-axis and IL-10 concentration on the y-axis, illustrating the positive correlation that suggests an adaptive mechanism to counteract increased inflammation. </w:t>
      </w:r>
      <w:r w:rsidRPr="0040663E">
        <w:rPr>
          <w:rFonts w:eastAsiaTheme="minorEastAsia" w:cstheme="minorHAnsi"/>
          <w:b/>
          <w:bCs/>
          <w:color w:val="000000" w:themeColor="text1"/>
          <w:szCs w:val="22"/>
        </w:rPr>
        <w:t>d)</w:t>
      </w:r>
      <w:r w:rsidRPr="0040663E">
        <w:rPr>
          <w:rFonts w:eastAsiaTheme="minorEastAsia" w:cstheme="minorHAnsi"/>
          <w:bCs/>
          <w:color w:val="000000" w:themeColor="text1"/>
          <w:szCs w:val="22"/>
        </w:rPr>
        <w:t xml:space="preserve"> Scatter plot with age on the x-axis and IL-4 levels on the y-axis, highlighting the aging-associated complex immune responses. </w:t>
      </w:r>
      <w:r w:rsidRPr="0040663E">
        <w:rPr>
          <w:rFonts w:eastAsiaTheme="minorEastAsia" w:cstheme="minorHAnsi"/>
          <w:b/>
          <w:bCs/>
          <w:color w:val="000000" w:themeColor="text1"/>
          <w:szCs w:val="22"/>
        </w:rPr>
        <w:t>e)</w:t>
      </w:r>
      <w:r w:rsidRPr="0040663E">
        <w:rPr>
          <w:rFonts w:eastAsiaTheme="minorEastAsia" w:cstheme="minorHAnsi"/>
          <w:bCs/>
          <w:color w:val="000000" w:themeColor="text1"/>
          <w:szCs w:val="22"/>
        </w:rPr>
        <w:t xml:space="preserve"> Scatter plot with TNF-α on the x-axis and IL-10 on the y-axis, emphasizing the interplay between pro-inflammatory and anti-inflammatory signals. These correlations reveal significant immunological changes associated with aging and their implications for increased BC risk.</w:t>
      </w:r>
    </w:p>
    <w:p w14:paraId="07FFB446" w14:textId="77777777" w:rsidR="0006179C" w:rsidRPr="0040663E" w:rsidRDefault="0006179C" w:rsidP="0006179C">
      <w:pPr>
        <w:pStyle w:val="ListParagraph"/>
        <w:spacing w:before="240" w:line="276" w:lineRule="auto"/>
        <w:ind w:left="142"/>
        <w:jc w:val="both"/>
        <w:rPr>
          <w:rFonts w:eastAsiaTheme="minorEastAsia" w:cstheme="minorHAnsi"/>
          <w:bCs/>
          <w:color w:val="000000" w:themeColor="text1"/>
          <w:szCs w:val="22"/>
        </w:rPr>
      </w:pPr>
    </w:p>
    <w:p w14:paraId="77B3871E" w14:textId="77777777" w:rsidR="0006179C" w:rsidRPr="0040663E" w:rsidRDefault="0006179C" w:rsidP="0006179C">
      <w:pPr>
        <w:pStyle w:val="ListParagraph"/>
        <w:spacing w:before="240" w:line="276" w:lineRule="auto"/>
        <w:ind w:left="142"/>
        <w:jc w:val="both"/>
        <w:rPr>
          <w:rFonts w:eastAsiaTheme="minorEastAsia" w:cstheme="minorHAnsi"/>
          <w:b/>
          <w:color w:val="000000" w:themeColor="text1"/>
          <w:szCs w:val="22"/>
        </w:rPr>
      </w:pPr>
    </w:p>
    <w:p w14:paraId="3D5371C0" w14:textId="77777777" w:rsidR="0006179C" w:rsidRPr="0040663E" w:rsidRDefault="0006179C" w:rsidP="0006179C">
      <w:pPr>
        <w:pStyle w:val="ListParagraph"/>
        <w:spacing w:before="240" w:line="276" w:lineRule="auto"/>
        <w:ind w:left="142"/>
        <w:jc w:val="both"/>
        <w:rPr>
          <w:rFonts w:eastAsiaTheme="minorEastAsia" w:cstheme="minorHAnsi"/>
          <w:b/>
          <w:color w:val="000000" w:themeColor="text1"/>
          <w:szCs w:val="22"/>
        </w:rPr>
      </w:pPr>
    </w:p>
    <w:p w14:paraId="453FA34C" w14:textId="77777777" w:rsidR="0006179C" w:rsidRPr="0040663E" w:rsidRDefault="0006179C" w:rsidP="0006179C">
      <w:pPr>
        <w:pStyle w:val="ListParagraph"/>
        <w:spacing w:before="240" w:line="276" w:lineRule="auto"/>
        <w:ind w:left="142"/>
        <w:jc w:val="both"/>
        <w:rPr>
          <w:rFonts w:eastAsiaTheme="minorEastAsia" w:cstheme="minorHAnsi"/>
          <w:b/>
          <w:color w:val="000000" w:themeColor="text1"/>
          <w:szCs w:val="22"/>
        </w:rPr>
      </w:pPr>
    </w:p>
    <w:p w14:paraId="35687E91" w14:textId="77777777" w:rsidR="0006179C" w:rsidRPr="0040663E" w:rsidRDefault="0006179C" w:rsidP="0006179C">
      <w:pPr>
        <w:pStyle w:val="ListParagraph"/>
        <w:spacing w:before="240" w:line="276" w:lineRule="auto"/>
        <w:ind w:left="142"/>
        <w:jc w:val="both"/>
        <w:rPr>
          <w:rFonts w:eastAsiaTheme="minorEastAsia" w:cstheme="minorHAnsi"/>
          <w:b/>
          <w:color w:val="000000" w:themeColor="text1"/>
          <w:szCs w:val="22"/>
        </w:rPr>
      </w:pPr>
    </w:p>
    <w:p w14:paraId="04CC3FFE" w14:textId="77777777" w:rsidR="0006179C" w:rsidRPr="0040663E" w:rsidRDefault="0006179C" w:rsidP="0006179C">
      <w:pPr>
        <w:pStyle w:val="ListParagraph"/>
        <w:spacing w:before="240" w:line="276" w:lineRule="auto"/>
        <w:ind w:left="142"/>
        <w:jc w:val="both"/>
        <w:rPr>
          <w:rFonts w:eastAsiaTheme="minorEastAsia" w:cstheme="minorHAnsi"/>
          <w:b/>
          <w:color w:val="000000" w:themeColor="text1"/>
          <w:szCs w:val="22"/>
        </w:rPr>
      </w:pPr>
    </w:p>
    <w:p w14:paraId="2ABFB968" w14:textId="77777777" w:rsidR="0006179C" w:rsidRPr="0040663E" w:rsidRDefault="0006179C" w:rsidP="0006179C">
      <w:pPr>
        <w:pStyle w:val="ListParagraph"/>
        <w:spacing w:before="240" w:line="276" w:lineRule="auto"/>
        <w:ind w:left="142"/>
        <w:jc w:val="both"/>
        <w:rPr>
          <w:rFonts w:eastAsiaTheme="minorEastAsia" w:cstheme="minorHAnsi"/>
          <w:b/>
          <w:color w:val="000000" w:themeColor="text1"/>
          <w:szCs w:val="22"/>
        </w:rPr>
      </w:pPr>
    </w:p>
    <w:p w14:paraId="1838A539" w14:textId="77777777" w:rsidR="0006179C" w:rsidRPr="0040663E" w:rsidRDefault="0006179C" w:rsidP="0006179C">
      <w:pPr>
        <w:pStyle w:val="ListParagraph"/>
        <w:spacing w:before="240" w:line="276" w:lineRule="auto"/>
        <w:ind w:left="142"/>
        <w:jc w:val="both"/>
        <w:rPr>
          <w:rFonts w:eastAsiaTheme="minorEastAsia" w:cstheme="minorHAnsi"/>
          <w:b/>
          <w:color w:val="000000" w:themeColor="text1"/>
          <w:szCs w:val="22"/>
        </w:rPr>
      </w:pPr>
    </w:p>
    <w:p w14:paraId="50273866" w14:textId="77777777" w:rsidR="0006179C" w:rsidRPr="0040663E" w:rsidRDefault="0006179C" w:rsidP="0006179C">
      <w:pPr>
        <w:pStyle w:val="ListParagraph"/>
        <w:spacing w:before="240" w:line="276" w:lineRule="auto"/>
        <w:ind w:left="142"/>
        <w:jc w:val="both"/>
        <w:rPr>
          <w:rFonts w:eastAsiaTheme="minorEastAsia" w:cstheme="minorHAnsi"/>
          <w:b/>
          <w:color w:val="000000" w:themeColor="text1"/>
          <w:szCs w:val="22"/>
        </w:rPr>
      </w:pPr>
    </w:p>
    <w:p w14:paraId="0BAB7FD8" w14:textId="77777777" w:rsidR="0006179C" w:rsidRPr="0040663E" w:rsidRDefault="0006179C" w:rsidP="0006179C">
      <w:pPr>
        <w:pStyle w:val="ListParagraph"/>
        <w:spacing w:before="240" w:line="276" w:lineRule="auto"/>
        <w:ind w:left="142"/>
        <w:jc w:val="both"/>
        <w:rPr>
          <w:rFonts w:eastAsiaTheme="minorEastAsia" w:cstheme="minorHAnsi"/>
          <w:b/>
          <w:color w:val="000000" w:themeColor="text1"/>
          <w:szCs w:val="22"/>
        </w:rPr>
      </w:pPr>
    </w:p>
    <w:p w14:paraId="4D542C54" w14:textId="77777777" w:rsidR="0006179C" w:rsidRPr="0040663E" w:rsidRDefault="0006179C" w:rsidP="0006179C">
      <w:pPr>
        <w:pStyle w:val="ListParagraph"/>
        <w:spacing w:before="240" w:line="276" w:lineRule="auto"/>
        <w:ind w:left="142"/>
        <w:jc w:val="both"/>
        <w:rPr>
          <w:rFonts w:eastAsiaTheme="minorEastAsia" w:cstheme="minorHAnsi"/>
          <w:b/>
          <w:color w:val="000000" w:themeColor="text1"/>
          <w:szCs w:val="22"/>
        </w:rPr>
      </w:pPr>
    </w:p>
    <w:p w14:paraId="31356876" w14:textId="77777777" w:rsidR="0006179C" w:rsidRPr="0040663E" w:rsidRDefault="0006179C" w:rsidP="0006179C">
      <w:pPr>
        <w:pStyle w:val="ListParagraph"/>
        <w:spacing w:before="240" w:line="276" w:lineRule="auto"/>
        <w:ind w:left="142"/>
        <w:jc w:val="both"/>
        <w:rPr>
          <w:rFonts w:eastAsiaTheme="minorEastAsia" w:cstheme="minorHAnsi"/>
          <w:b/>
          <w:color w:val="000000" w:themeColor="text1"/>
          <w:szCs w:val="22"/>
        </w:rPr>
      </w:pPr>
    </w:p>
    <w:p w14:paraId="68F53774" w14:textId="77777777" w:rsidR="0006179C" w:rsidRPr="0040663E" w:rsidRDefault="0006179C" w:rsidP="0006179C">
      <w:pPr>
        <w:pStyle w:val="ListParagraph"/>
        <w:spacing w:before="240" w:line="276" w:lineRule="auto"/>
        <w:ind w:left="142"/>
        <w:jc w:val="both"/>
        <w:rPr>
          <w:rFonts w:eastAsiaTheme="minorEastAsia" w:cstheme="minorHAnsi"/>
          <w:b/>
          <w:color w:val="000000" w:themeColor="text1"/>
          <w:szCs w:val="22"/>
        </w:rPr>
      </w:pPr>
    </w:p>
    <w:p w14:paraId="225D4D03" w14:textId="77777777" w:rsidR="0006179C" w:rsidRPr="0040663E" w:rsidRDefault="0006179C" w:rsidP="0006179C">
      <w:pPr>
        <w:pStyle w:val="ListParagraph"/>
        <w:spacing w:before="240" w:line="276" w:lineRule="auto"/>
        <w:ind w:left="142"/>
        <w:jc w:val="both"/>
        <w:rPr>
          <w:rFonts w:eastAsiaTheme="minorEastAsia" w:cstheme="minorHAnsi"/>
          <w:b/>
          <w:color w:val="000000" w:themeColor="text1"/>
          <w:szCs w:val="22"/>
        </w:rPr>
      </w:pPr>
    </w:p>
    <w:p w14:paraId="706026D5" w14:textId="77777777" w:rsidR="0006179C" w:rsidRPr="0040663E" w:rsidRDefault="0006179C" w:rsidP="0006179C">
      <w:pPr>
        <w:pStyle w:val="ListParagraph"/>
        <w:spacing w:before="240" w:line="276" w:lineRule="auto"/>
        <w:ind w:left="142"/>
        <w:jc w:val="both"/>
        <w:rPr>
          <w:rFonts w:eastAsiaTheme="minorEastAsia" w:cstheme="minorHAnsi"/>
          <w:b/>
          <w:color w:val="000000" w:themeColor="text1"/>
          <w:szCs w:val="22"/>
        </w:rPr>
      </w:pPr>
    </w:p>
    <w:p w14:paraId="33788231" w14:textId="77777777" w:rsidR="0006179C" w:rsidRPr="0040663E" w:rsidRDefault="0006179C" w:rsidP="0006179C">
      <w:pPr>
        <w:pStyle w:val="ListParagraph"/>
        <w:spacing w:before="240" w:line="276" w:lineRule="auto"/>
        <w:ind w:left="142"/>
        <w:jc w:val="both"/>
        <w:rPr>
          <w:rFonts w:eastAsiaTheme="minorEastAsia" w:cstheme="minorHAnsi"/>
          <w:b/>
          <w:color w:val="000000" w:themeColor="text1"/>
          <w:szCs w:val="22"/>
        </w:rPr>
      </w:pPr>
      <w:r w:rsidRPr="0040663E">
        <w:rPr>
          <w:noProof/>
          <w:lang w:val="en-US" w:bidi="fa-IR"/>
        </w:rPr>
        <w:lastRenderedPageBreak/>
        <w:drawing>
          <wp:inline distT="0" distB="0" distL="0" distR="0" wp14:anchorId="73D1C928" wp14:editId="521EFD97">
            <wp:extent cx="5731510" cy="3803650"/>
            <wp:effectExtent l="0" t="0" r="2540" b="6350"/>
            <wp:docPr id="240688444" name="Picture 4" descr="A group of graph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688444" name="Picture 4" descr="A group of graphs with number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803650"/>
                    </a:xfrm>
                    <a:prstGeom prst="rect">
                      <a:avLst/>
                    </a:prstGeom>
                    <a:noFill/>
                    <a:ln>
                      <a:noFill/>
                    </a:ln>
                  </pic:spPr>
                </pic:pic>
              </a:graphicData>
            </a:graphic>
          </wp:inline>
        </w:drawing>
      </w:r>
    </w:p>
    <w:p w14:paraId="312764F9" w14:textId="50CF335A" w:rsidR="0006179C" w:rsidRPr="0040663E" w:rsidRDefault="0006179C" w:rsidP="0006179C">
      <w:pPr>
        <w:pStyle w:val="ListParagraph"/>
        <w:spacing w:before="240" w:line="276" w:lineRule="auto"/>
        <w:ind w:left="142"/>
        <w:jc w:val="both"/>
        <w:rPr>
          <w:rFonts w:eastAsiaTheme="minorEastAsia" w:cstheme="minorHAnsi"/>
          <w:b/>
          <w:color w:val="000000" w:themeColor="text1"/>
          <w:szCs w:val="22"/>
        </w:rPr>
      </w:pPr>
      <w:r w:rsidRPr="0040663E">
        <w:rPr>
          <w:rFonts w:eastAsiaTheme="minorEastAsia" w:cstheme="minorHAnsi"/>
          <w:b/>
          <w:color w:val="000000" w:themeColor="text1"/>
          <w:szCs w:val="22"/>
        </w:rPr>
        <w:t xml:space="preserve">Figure </w:t>
      </w:r>
      <w:r w:rsidR="00E31A08" w:rsidRPr="0040663E">
        <w:rPr>
          <w:rFonts w:eastAsiaTheme="minorEastAsia" w:cstheme="minorHAnsi"/>
          <w:b/>
          <w:color w:val="000000" w:themeColor="text1"/>
          <w:szCs w:val="22"/>
        </w:rPr>
        <w:t>S</w:t>
      </w:r>
      <w:r w:rsidRPr="0040663E">
        <w:rPr>
          <w:rFonts w:eastAsiaTheme="minorEastAsia" w:cstheme="minorHAnsi"/>
          <w:b/>
          <w:color w:val="000000" w:themeColor="text1"/>
          <w:szCs w:val="22"/>
        </w:rPr>
        <w:t xml:space="preserve">4. </w:t>
      </w:r>
      <w:r w:rsidRPr="0040663E">
        <w:rPr>
          <w:rFonts w:eastAsiaTheme="minorEastAsia" w:cstheme="minorHAnsi"/>
          <w:bCs/>
          <w:color w:val="000000" w:themeColor="text1"/>
          <w:szCs w:val="22"/>
        </w:rPr>
        <w:t xml:space="preserve">Scatter plots depicting the correlations between variables such as </w:t>
      </w:r>
      <w:r w:rsidRPr="0040663E">
        <w:rPr>
          <w:rFonts w:eastAsiaTheme="minorEastAsia" w:cstheme="minorHAnsi"/>
          <w:b/>
          <w:color w:val="000000" w:themeColor="text1"/>
          <w:szCs w:val="22"/>
        </w:rPr>
        <w:t>a)</w:t>
      </w:r>
      <w:r w:rsidRPr="0040663E">
        <w:rPr>
          <w:rFonts w:eastAsiaTheme="minorEastAsia" w:cstheme="minorHAnsi"/>
          <w:bCs/>
          <w:color w:val="000000" w:themeColor="text1"/>
          <w:szCs w:val="22"/>
        </w:rPr>
        <w:t xml:space="preserve"> Oxidative damage </w:t>
      </w:r>
      <w:r w:rsidRPr="0040663E">
        <w:rPr>
          <w:rFonts w:eastAsiaTheme="minorEastAsia" w:cstheme="minorHAnsi"/>
          <w:b/>
          <w:color w:val="000000" w:themeColor="text1"/>
          <w:szCs w:val="22"/>
        </w:rPr>
        <w:t>b)</w:t>
      </w:r>
      <w:r w:rsidRPr="0040663E">
        <w:rPr>
          <w:rFonts w:eastAsiaTheme="minorEastAsia" w:cstheme="minorHAnsi"/>
          <w:bCs/>
          <w:color w:val="000000" w:themeColor="text1"/>
          <w:szCs w:val="22"/>
        </w:rPr>
        <w:t xml:space="preserve"> Repair gene </w:t>
      </w:r>
      <w:r w:rsidRPr="0040663E">
        <w:rPr>
          <w:rFonts w:eastAsiaTheme="minorEastAsia" w:cstheme="minorHAnsi"/>
          <w:b/>
          <w:color w:val="000000" w:themeColor="text1"/>
          <w:szCs w:val="22"/>
        </w:rPr>
        <w:t>c)</w:t>
      </w:r>
      <w:r w:rsidRPr="0040663E">
        <w:rPr>
          <w:rFonts w:eastAsiaTheme="minorEastAsia" w:cstheme="minorHAnsi"/>
          <w:bCs/>
          <w:color w:val="000000" w:themeColor="text1"/>
          <w:szCs w:val="22"/>
        </w:rPr>
        <w:t xml:space="preserve"> ISR gene </w:t>
      </w:r>
      <w:r w:rsidRPr="0040663E">
        <w:rPr>
          <w:rFonts w:eastAsiaTheme="minorEastAsia" w:cstheme="minorHAnsi"/>
          <w:b/>
          <w:color w:val="000000" w:themeColor="text1"/>
          <w:szCs w:val="22"/>
        </w:rPr>
        <w:t>d)</w:t>
      </w:r>
      <w:r w:rsidRPr="0040663E">
        <w:rPr>
          <w:rFonts w:eastAsiaTheme="minorEastAsia" w:cstheme="minorHAnsi"/>
          <w:bCs/>
          <w:color w:val="000000" w:themeColor="text1"/>
          <w:szCs w:val="22"/>
        </w:rPr>
        <w:t xml:space="preserve"> FF (fission and fusion genes) </w:t>
      </w:r>
      <w:r w:rsidRPr="0040663E">
        <w:rPr>
          <w:rFonts w:eastAsiaTheme="minorEastAsia" w:cstheme="minorHAnsi"/>
          <w:b/>
          <w:color w:val="000000" w:themeColor="text1"/>
          <w:szCs w:val="22"/>
        </w:rPr>
        <w:t xml:space="preserve">e) </w:t>
      </w:r>
      <w:r w:rsidRPr="0040663E">
        <w:rPr>
          <w:rFonts w:eastAsiaTheme="minorEastAsia" w:cstheme="minorHAnsi"/>
          <w:bCs/>
          <w:color w:val="000000" w:themeColor="text1"/>
          <w:szCs w:val="22"/>
        </w:rPr>
        <w:t xml:space="preserve">mtDNA methylation and </w:t>
      </w:r>
      <w:r w:rsidRPr="0040663E">
        <w:rPr>
          <w:rFonts w:eastAsiaTheme="minorEastAsia" w:cstheme="minorHAnsi"/>
          <w:b/>
          <w:color w:val="000000" w:themeColor="text1"/>
          <w:szCs w:val="22"/>
        </w:rPr>
        <w:t>f)</w:t>
      </w:r>
      <w:r w:rsidRPr="0040663E">
        <w:rPr>
          <w:rFonts w:eastAsiaTheme="minorEastAsia" w:cstheme="minorHAnsi"/>
          <w:bCs/>
          <w:color w:val="000000" w:themeColor="text1"/>
          <w:szCs w:val="22"/>
        </w:rPr>
        <w:t xml:space="preserve"> TFAM concerning age. Each plot includes a line of best fit, with r</w:t>
      </w:r>
      <w:r w:rsidRPr="0040663E">
        <w:rPr>
          <w:rFonts w:eastAsiaTheme="minorEastAsia" w:cstheme="minorHAnsi"/>
          <w:bCs/>
          <w:color w:val="000000" w:themeColor="text1"/>
          <w:szCs w:val="22"/>
          <w:vertAlign w:val="superscript"/>
        </w:rPr>
        <w:t>2</w:t>
      </w:r>
      <w:r w:rsidRPr="0040663E">
        <w:rPr>
          <w:rFonts w:eastAsiaTheme="minorEastAsia" w:cstheme="minorHAnsi"/>
          <w:bCs/>
          <w:color w:val="000000" w:themeColor="text1"/>
          <w:szCs w:val="22"/>
        </w:rPr>
        <w:t xml:space="preserve"> values ranging from 0.81 to 0.97, indicating strong correlations, and p-values of 0.000, demonstrating statistical significance. The plots are arranged with each row comparing different variables against a common variable on the Y-axis.</w:t>
      </w:r>
    </w:p>
    <w:p w14:paraId="4F596FC2" w14:textId="77777777" w:rsidR="0006179C" w:rsidRPr="0040663E" w:rsidRDefault="0006179C" w:rsidP="0006179C">
      <w:pPr>
        <w:pStyle w:val="ListParagraph"/>
        <w:spacing w:before="240" w:line="276" w:lineRule="auto"/>
        <w:ind w:left="142"/>
        <w:jc w:val="both"/>
        <w:rPr>
          <w:rFonts w:eastAsiaTheme="minorEastAsia" w:cstheme="minorHAnsi"/>
          <w:bCs/>
          <w:color w:val="000000" w:themeColor="text1"/>
          <w:szCs w:val="22"/>
        </w:rPr>
      </w:pPr>
    </w:p>
    <w:p w14:paraId="3521545F" w14:textId="77777777" w:rsidR="0006179C" w:rsidRPr="0040663E" w:rsidRDefault="0006179C" w:rsidP="0006179C">
      <w:pPr>
        <w:pStyle w:val="ListParagraph"/>
        <w:spacing w:before="240" w:line="276" w:lineRule="auto"/>
        <w:ind w:left="142"/>
        <w:jc w:val="both"/>
        <w:rPr>
          <w:rFonts w:eastAsiaTheme="minorEastAsia" w:cstheme="minorHAnsi"/>
          <w:bCs/>
          <w:color w:val="000000" w:themeColor="text1"/>
          <w:szCs w:val="22"/>
        </w:rPr>
      </w:pPr>
    </w:p>
    <w:p w14:paraId="37B22B48" w14:textId="77777777" w:rsidR="00F33F86" w:rsidRPr="0040663E" w:rsidRDefault="00F33F86" w:rsidP="00F33F86">
      <w:pPr>
        <w:spacing w:before="240" w:line="276" w:lineRule="auto"/>
        <w:ind w:left="142"/>
        <w:jc w:val="both"/>
        <w:rPr>
          <w:rFonts w:eastAsiaTheme="minorEastAsia" w:cstheme="minorHAnsi"/>
          <w:b/>
          <w:color w:val="000000" w:themeColor="text1"/>
        </w:rPr>
      </w:pPr>
    </w:p>
    <w:p w14:paraId="49333A3A" w14:textId="77777777" w:rsidR="00F33F86" w:rsidRPr="0040663E" w:rsidRDefault="00F33F86" w:rsidP="00F33F86">
      <w:pPr>
        <w:spacing w:before="240" w:line="276" w:lineRule="auto"/>
        <w:ind w:left="142"/>
        <w:jc w:val="both"/>
        <w:rPr>
          <w:rFonts w:eastAsiaTheme="minorEastAsia" w:cstheme="minorHAnsi"/>
          <w:b/>
          <w:color w:val="000000" w:themeColor="text1"/>
        </w:rPr>
      </w:pPr>
    </w:p>
    <w:p w14:paraId="4D4DB170" w14:textId="77777777" w:rsidR="00F33F86" w:rsidRPr="0040663E" w:rsidRDefault="00F33F86" w:rsidP="00F33F86">
      <w:pPr>
        <w:spacing w:before="240" w:line="276" w:lineRule="auto"/>
        <w:ind w:left="142"/>
        <w:jc w:val="center"/>
        <w:rPr>
          <w:rFonts w:eastAsiaTheme="minorEastAsia" w:cstheme="minorHAnsi"/>
          <w:b/>
          <w:color w:val="000000" w:themeColor="text1"/>
        </w:rPr>
      </w:pPr>
      <w:r w:rsidRPr="0040663E">
        <w:rPr>
          <w:noProof/>
          <w:lang w:val="en-US" w:bidi="fa-IR"/>
        </w:rPr>
        <w:lastRenderedPageBreak/>
        <w:drawing>
          <wp:inline distT="0" distB="0" distL="0" distR="0" wp14:anchorId="6F534662" wp14:editId="68C00214">
            <wp:extent cx="4305300" cy="3955190"/>
            <wp:effectExtent l="0" t="0" r="0" b="7620"/>
            <wp:docPr id="543103399" name="Picture 9"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03399" name="Picture 9" descr="A graph of different colored square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637" cy="3963768"/>
                    </a:xfrm>
                    <a:prstGeom prst="rect">
                      <a:avLst/>
                    </a:prstGeom>
                    <a:noFill/>
                    <a:ln>
                      <a:noFill/>
                    </a:ln>
                  </pic:spPr>
                </pic:pic>
              </a:graphicData>
            </a:graphic>
          </wp:inline>
        </w:drawing>
      </w:r>
    </w:p>
    <w:p w14:paraId="389D04E2" w14:textId="4F64BACD" w:rsidR="00F33F86" w:rsidRPr="0040663E" w:rsidRDefault="00F33F86" w:rsidP="00F33F86">
      <w:pPr>
        <w:spacing w:before="240" w:line="276" w:lineRule="auto"/>
        <w:ind w:left="142"/>
        <w:jc w:val="both"/>
        <w:rPr>
          <w:rFonts w:cstheme="minorHAnsi"/>
        </w:rPr>
      </w:pPr>
      <w:r w:rsidRPr="0040663E">
        <w:rPr>
          <w:rFonts w:cstheme="minorHAnsi"/>
          <w:b/>
        </w:rPr>
        <w:t xml:space="preserve">Figure </w:t>
      </w:r>
      <w:r w:rsidR="00E31A08" w:rsidRPr="0040663E">
        <w:rPr>
          <w:rFonts w:cstheme="minorHAnsi"/>
          <w:b/>
        </w:rPr>
        <w:t>S</w:t>
      </w:r>
      <w:r w:rsidR="001B1CFE" w:rsidRPr="0040663E">
        <w:rPr>
          <w:rFonts w:cstheme="minorHAnsi"/>
          <w:b/>
        </w:rPr>
        <w:t>5</w:t>
      </w:r>
      <w:r w:rsidRPr="0040663E">
        <w:rPr>
          <w:rFonts w:cstheme="minorHAnsi"/>
          <w:b/>
          <w:bCs/>
        </w:rPr>
        <w:t>.</w:t>
      </w:r>
      <w:r w:rsidRPr="0040663E">
        <w:rPr>
          <w:rFonts w:cstheme="minorHAnsi"/>
        </w:rPr>
        <w:t xml:space="preserve"> The graph illustrates the percentage of RNA methylation between two groups of females exposed to HAP, with potential relevance to BC risk. Group A, represented by the orange bar, shows lower RNA methylation levels than Group B, represented by the blue bar. The y-axis indicates the percentage of RNA methylation, ranging from 0.00% to 0.06%. A significant difference between the two groups is evident, with a p-value of 0.0267, suggesting females in Group B, with higher RNA methylation levels, may have an increased susceptibility to BC. The error bars show the variability of methylation levels within each group.</w:t>
      </w:r>
    </w:p>
    <w:p w14:paraId="7AD11ADB" w14:textId="77777777" w:rsidR="00F33F86" w:rsidRPr="0040663E" w:rsidRDefault="00F33F86" w:rsidP="00F33F86">
      <w:pPr>
        <w:spacing w:before="240" w:line="276" w:lineRule="auto"/>
        <w:ind w:left="142"/>
        <w:jc w:val="both"/>
        <w:rPr>
          <w:rFonts w:cstheme="minorHAnsi"/>
        </w:rPr>
      </w:pPr>
    </w:p>
    <w:p w14:paraId="43002BB6" w14:textId="77777777" w:rsidR="00F33F86" w:rsidRPr="0040663E" w:rsidRDefault="00F33F86" w:rsidP="00F33F86">
      <w:pPr>
        <w:spacing w:before="240" w:line="276" w:lineRule="auto"/>
        <w:ind w:left="142"/>
        <w:jc w:val="both"/>
        <w:rPr>
          <w:rFonts w:cstheme="minorHAnsi"/>
        </w:rPr>
      </w:pPr>
    </w:p>
    <w:p w14:paraId="7899AB2C" w14:textId="77777777" w:rsidR="00F33F86" w:rsidRPr="0040663E" w:rsidRDefault="00F33F86" w:rsidP="00F33F86">
      <w:pPr>
        <w:spacing w:before="240" w:line="276" w:lineRule="auto"/>
        <w:ind w:left="142"/>
        <w:jc w:val="both"/>
        <w:rPr>
          <w:rFonts w:cstheme="minorHAnsi"/>
        </w:rPr>
      </w:pPr>
    </w:p>
    <w:p w14:paraId="3A48B0D2" w14:textId="77777777" w:rsidR="00F33F86" w:rsidRPr="0040663E" w:rsidRDefault="00F33F86" w:rsidP="00F33F86">
      <w:pPr>
        <w:spacing w:before="240" w:line="276" w:lineRule="auto"/>
        <w:ind w:left="142"/>
        <w:jc w:val="both"/>
        <w:rPr>
          <w:rFonts w:cstheme="minorHAnsi"/>
        </w:rPr>
      </w:pPr>
    </w:p>
    <w:p w14:paraId="11B42941" w14:textId="77777777" w:rsidR="00F33F86" w:rsidRPr="0040663E" w:rsidRDefault="00F33F86" w:rsidP="00F33F86">
      <w:pPr>
        <w:spacing w:before="240" w:line="276" w:lineRule="auto"/>
        <w:ind w:left="142"/>
        <w:jc w:val="both"/>
        <w:rPr>
          <w:rFonts w:cstheme="minorHAnsi"/>
        </w:rPr>
      </w:pPr>
    </w:p>
    <w:p w14:paraId="479F6899" w14:textId="77777777" w:rsidR="00F33F86" w:rsidRPr="0040663E" w:rsidRDefault="00F33F86" w:rsidP="00F33F86">
      <w:pPr>
        <w:spacing w:before="240" w:line="276" w:lineRule="auto"/>
        <w:ind w:left="142"/>
        <w:jc w:val="both"/>
        <w:rPr>
          <w:rFonts w:cstheme="minorHAnsi"/>
        </w:rPr>
      </w:pPr>
    </w:p>
    <w:p w14:paraId="497C8215" w14:textId="77777777" w:rsidR="00F33F86" w:rsidRPr="0040663E" w:rsidRDefault="00F33F86" w:rsidP="00F33F86">
      <w:pPr>
        <w:spacing w:before="240" w:line="276" w:lineRule="auto"/>
        <w:ind w:left="142"/>
        <w:jc w:val="both"/>
        <w:rPr>
          <w:rFonts w:cstheme="minorHAnsi"/>
        </w:rPr>
      </w:pPr>
    </w:p>
    <w:p w14:paraId="48974AED" w14:textId="77777777" w:rsidR="00F33F86" w:rsidRPr="0040663E" w:rsidRDefault="00F33F86" w:rsidP="00F33F86">
      <w:pPr>
        <w:spacing w:before="240" w:line="276" w:lineRule="auto"/>
        <w:ind w:left="142"/>
        <w:jc w:val="both"/>
        <w:rPr>
          <w:rFonts w:cstheme="minorHAnsi"/>
        </w:rPr>
      </w:pPr>
    </w:p>
    <w:p w14:paraId="6F224421" w14:textId="77777777" w:rsidR="00F33F86" w:rsidRPr="0040663E" w:rsidRDefault="00F33F86" w:rsidP="00F33F86">
      <w:pPr>
        <w:spacing w:before="240" w:line="276" w:lineRule="auto"/>
        <w:ind w:left="142"/>
        <w:jc w:val="both"/>
        <w:rPr>
          <w:rFonts w:cstheme="minorHAnsi"/>
        </w:rPr>
      </w:pPr>
    </w:p>
    <w:p w14:paraId="109CA49F" w14:textId="77777777" w:rsidR="00F33F86" w:rsidRPr="0040663E" w:rsidRDefault="00F33F86" w:rsidP="00F33F86">
      <w:pPr>
        <w:spacing w:before="240" w:line="276" w:lineRule="auto"/>
        <w:ind w:left="142"/>
        <w:jc w:val="both"/>
        <w:rPr>
          <w:rFonts w:cstheme="minorHAnsi"/>
        </w:rPr>
      </w:pPr>
      <w:r w:rsidRPr="0040663E">
        <w:rPr>
          <w:noProof/>
          <w:lang w:val="en-US" w:bidi="fa-IR"/>
        </w:rPr>
        <w:lastRenderedPageBreak/>
        <w:drawing>
          <wp:inline distT="0" distB="0" distL="0" distR="0" wp14:anchorId="291CA96F" wp14:editId="4B9CDDF1">
            <wp:extent cx="5731510" cy="4298950"/>
            <wp:effectExtent l="0" t="0" r="2540" b="6350"/>
            <wp:docPr id="1426796902" name="Picture 10" descr="A group of blue and orang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796902" name="Picture 10" descr="A group of blue and orange bar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64641A56" w14:textId="32ABB713" w:rsidR="00F33F86" w:rsidRPr="0040663E" w:rsidRDefault="00F33F86" w:rsidP="00F33F86">
      <w:pPr>
        <w:spacing w:before="240" w:line="276" w:lineRule="auto"/>
        <w:ind w:left="142"/>
        <w:jc w:val="both"/>
        <w:rPr>
          <w:rFonts w:cstheme="minorHAnsi"/>
          <w:color w:val="000000" w:themeColor="text1"/>
        </w:rPr>
      </w:pPr>
      <w:r w:rsidRPr="0040663E">
        <w:rPr>
          <w:rFonts w:cstheme="minorHAnsi"/>
          <w:b/>
          <w:bCs/>
          <w:color w:val="000000" w:themeColor="text1"/>
        </w:rPr>
        <w:t xml:space="preserve">Figure </w:t>
      </w:r>
      <w:r w:rsidR="00531D15" w:rsidRPr="0040663E">
        <w:rPr>
          <w:rFonts w:cstheme="minorHAnsi"/>
          <w:b/>
          <w:bCs/>
          <w:color w:val="000000" w:themeColor="text1"/>
        </w:rPr>
        <w:t>S6</w:t>
      </w:r>
      <w:r w:rsidRPr="0040663E">
        <w:rPr>
          <w:rFonts w:cstheme="minorHAnsi"/>
          <w:b/>
          <w:bCs/>
          <w:color w:val="000000" w:themeColor="text1"/>
        </w:rPr>
        <w:t xml:space="preserve">. </w:t>
      </w:r>
      <w:bookmarkStart w:id="0" w:name="_Hlk181710962"/>
      <w:r w:rsidRPr="0040663E">
        <w:rPr>
          <w:rFonts w:cstheme="minorHAnsi"/>
          <w:b/>
          <w:bCs/>
          <w:color w:val="000000" w:themeColor="text1"/>
        </w:rPr>
        <w:t>a)</w:t>
      </w:r>
      <w:bookmarkEnd w:id="0"/>
      <w:r w:rsidRPr="0040663E">
        <w:rPr>
          <w:rFonts w:cstheme="minorHAnsi"/>
          <w:color w:val="000000" w:themeColor="text1"/>
        </w:rPr>
        <w:t xml:space="preserve"> Figure showing the change in fold expression of miRNAs in Group A and B females exposed to HAP. The fold change was calculated as 2</w:t>
      </w:r>
      <w:r w:rsidRPr="0040663E">
        <w:rPr>
          <w:rFonts w:cstheme="minorHAnsi"/>
          <w:color w:val="000000" w:themeColor="text1"/>
          <w:vertAlign w:val="superscript"/>
        </w:rPr>
        <w:t>−ΔΔCT</w:t>
      </w:r>
      <w:r w:rsidRPr="0040663E">
        <w:rPr>
          <w:rFonts w:cstheme="minorHAnsi"/>
          <w:color w:val="000000" w:themeColor="text1"/>
        </w:rPr>
        <w:t xml:space="preserve"> by identifying (dCt) as the difference between the internal control and its respective control and test values. </w:t>
      </w:r>
      <w:r w:rsidRPr="0040663E">
        <w:rPr>
          <w:rFonts w:cstheme="minorHAnsi"/>
          <w:b/>
          <w:bCs/>
          <w:color w:val="000000" w:themeColor="text1"/>
        </w:rPr>
        <w:t xml:space="preserve">b) </w:t>
      </w:r>
      <w:r w:rsidRPr="0040663E">
        <w:rPr>
          <w:rFonts w:cstheme="minorHAnsi"/>
          <w:color w:val="000000" w:themeColor="text1"/>
        </w:rPr>
        <w:t>Graphical representation of the fold change in lncRNA expression among Group A and B women exposed to biomass fuels. The fold change was calculated as 2</w:t>
      </w:r>
      <w:r w:rsidRPr="0040663E">
        <w:rPr>
          <w:rFonts w:cstheme="minorHAnsi"/>
          <w:color w:val="000000" w:themeColor="text1"/>
          <w:vertAlign w:val="superscript"/>
        </w:rPr>
        <w:t xml:space="preserve">− ΔΔCT </w:t>
      </w:r>
      <w:r w:rsidRPr="0040663E">
        <w:rPr>
          <w:rFonts w:cstheme="minorHAnsi"/>
          <w:color w:val="000000" w:themeColor="text1"/>
        </w:rPr>
        <w:t xml:space="preserve">by identifying (dCt) as the difference between the internal control and its respective control and test values. </w:t>
      </w:r>
      <w:r w:rsidRPr="0040663E">
        <w:rPr>
          <w:rFonts w:cstheme="minorHAnsi"/>
          <w:b/>
          <w:bCs/>
          <w:color w:val="000000" w:themeColor="text1"/>
        </w:rPr>
        <w:t xml:space="preserve">c) </w:t>
      </w:r>
      <w:r w:rsidRPr="0040663E">
        <w:rPr>
          <w:rFonts w:cstheme="minorHAnsi"/>
          <w:color w:val="000000" w:themeColor="text1"/>
        </w:rPr>
        <w:t>Graph showing the mRNA expression profile among the females exposed to biomass fuels. The fold change was calculated as 2</w:t>
      </w:r>
      <w:r w:rsidRPr="0040663E">
        <w:rPr>
          <w:rFonts w:cstheme="minorHAnsi"/>
          <w:color w:val="000000" w:themeColor="text1"/>
          <w:vertAlign w:val="superscript"/>
        </w:rPr>
        <w:t>−ΔΔCT</w:t>
      </w:r>
      <w:r w:rsidRPr="0040663E">
        <w:rPr>
          <w:rFonts w:cstheme="minorHAnsi"/>
          <w:color w:val="000000" w:themeColor="text1"/>
        </w:rPr>
        <w:t xml:space="preserve"> by identifying (dCt) as the difference between the internal control and its respective control and test values.</w:t>
      </w:r>
    </w:p>
    <w:p w14:paraId="6781D590" w14:textId="77777777" w:rsidR="005531C4" w:rsidRPr="0040663E" w:rsidRDefault="005531C4" w:rsidP="000C77DD">
      <w:pPr>
        <w:rPr>
          <w:rFonts w:cstheme="minorHAnsi"/>
          <w:b/>
          <w:bCs/>
          <w:sz w:val="24"/>
          <w:szCs w:val="24"/>
        </w:rPr>
      </w:pPr>
    </w:p>
    <w:p w14:paraId="20053B38" w14:textId="77777777" w:rsidR="005531C4" w:rsidRPr="0040663E" w:rsidRDefault="005531C4" w:rsidP="000C77DD">
      <w:pPr>
        <w:rPr>
          <w:rFonts w:cstheme="minorHAnsi"/>
          <w:b/>
          <w:bCs/>
          <w:sz w:val="24"/>
          <w:szCs w:val="24"/>
        </w:rPr>
      </w:pPr>
    </w:p>
    <w:p w14:paraId="1945F3D3" w14:textId="77777777" w:rsidR="005531C4" w:rsidRPr="0040663E" w:rsidRDefault="005531C4" w:rsidP="000C77DD">
      <w:pPr>
        <w:rPr>
          <w:rFonts w:cstheme="minorHAnsi"/>
          <w:b/>
          <w:bCs/>
          <w:sz w:val="24"/>
          <w:szCs w:val="24"/>
        </w:rPr>
      </w:pPr>
    </w:p>
    <w:p w14:paraId="5AD4F430" w14:textId="77777777" w:rsidR="005531C4" w:rsidRPr="0040663E" w:rsidRDefault="005531C4" w:rsidP="000C77DD">
      <w:pPr>
        <w:rPr>
          <w:rFonts w:cstheme="minorHAnsi"/>
          <w:b/>
          <w:bCs/>
          <w:sz w:val="24"/>
          <w:szCs w:val="24"/>
        </w:rPr>
      </w:pPr>
    </w:p>
    <w:p w14:paraId="04585A6E" w14:textId="77777777" w:rsidR="005531C4" w:rsidRPr="0040663E" w:rsidRDefault="005531C4" w:rsidP="000C77DD">
      <w:pPr>
        <w:rPr>
          <w:rFonts w:cstheme="minorHAnsi"/>
          <w:b/>
          <w:bCs/>
          <w:sz w:val="24"/>
          <w:szCs w:val="24"/>
        </w:rPr>
      </w:pPr>
    </w:p>
    <w:p w14:paraId="4BDA5707" w14:textId="77777777" w:rsidR="0007265C" w:rsidRPr="0040663E" w:rsidRDefault="0007265C" w:rsidP="000C77DD">
      <w:pPr>
        <w:rPr>
          <w:rFonts w:cstheme="minorHAnsi"/>
          <w:b/>
          <w:bCs/>
          <w:sz w:val="24"/>
          <w:szCs w:val="24"/>
        </w:rPr>
      </w:pPr>
    </w:p>
    <w:p w14:paraId="0B607504" w14:textId="77777777" w:rsidR="005531C4" w:rsidRPr="0040663E" w:rsidRDefault="005531C4" w:rsidP="000C77DD">
      <w:pPr>
        <w:rPr>
          <w:rFonts w:cstheme="minorHAnsi"/>
          <w:b/>
          <w:bCs/>
          <w:sz w:val="24"/>
          <w:szCs w:val="24"/>
        </w:rPr>
      </w:pPr>
    </w:p>
    <w:p w14:paraId="0391D88B" w14:textId="77777777" w:rsidR="005531C4" w:rsidRPr="0040663E" w:rsidRDefault="005531C4" w:rsidP="000C77DD">
      <w:pPr>
        <w:rPr>
          <w:rFonts w:cstheme="minorHAnsi"/>
          <w:b/>
          <w:bCs/>
          <w:sz w:val="24"/>
          <w:szCs w:val="24"/>
        </w:rPr>
      </w:pPr>
    </w:p>
    <w:p w14:paraId="78CC94F3" w14:textId="0E75DF8A" w:rsidR="000C77DD" w:rsidRPr="0040663E" w:rsidRDefault="000C77DD" w:rsidP="000C77DD">
      <w:pPr>
        <w:rPr>
          <w:rFonts w:ascii="Calibri" w:hAnsi="Calibri" w:cs="Calibri"/>
          <w:b/>
          <w:bCs/>
          <w:sz w:val="24"/>
          <w:szCs w:val="24"/>
        </w:rPr>
      </w:pPr>
      <w:r w:rsidRPr="0040663E">
        <w:rPr>
          <w:rFonts w:ascii="Calibri" w:hAnsi="Calibri" w:cs="Calibri"/>
          <w:b/>
          <w:bCs/>
          <w:sz w:val="24"/>
          <w:szCs w:val="24"/>
        </w:rPr>
        <w:lastRenderedPageBreak/>
        <w:t>Tables:</w:t>
      </w:r>
    </w:p>
    <w:p w14:paraId="5B7B2AF5" w14:textId="119932CC" w:rsidR="000C77DD" w:rsidRPr="0040663E" w:rsidRDefault="000C77DD" w:rsidP="000C77DD">
      <w:pPr>
        <w:jc w:val="both"/>
        <w:rPr>
          <w:rFonts w:ascii="Calibri" w:hAnsi="Calibri" w:cs="Calibri"/>
          <w:b/>
          <w:bCs/>
          <w:sz w:val="24"/>
          <w:szCs w:val="24"/>
        </w:rPr>
      </w:pPr>
      <w:r w:rsidRPr="0040663E">
        <w:rPr>
          <w:rFonts w:ascii="Calibri" w:hAnsi="Calibri" w:cs="Calibri"/>
          <w:b/>
          <w:bCs/>
          <w:sz w:val="24"/>
          <w:szCs w:val="24"/>
        </w:rPr>
        <w:t xml:space="preserve">Table </w:t>
      </w:r>
      <w:r w:rsidR="00531D15" w:rsidRPr="0040663E">
        <w:rPr>
          <w:rFonts w:ascii="Calibri" w:hAnsi="Calibri" w:cs="Calibri"/>
          <w:b/>
          <w:bCs/>
          <w:sz w:val="24"/>
          <w:szCs w:val="24"/>
        </w:rPr>
        <w:t>S</w:t>
      </w:r>
      <w:r w:rsidRPr="0040663E">
        <w:rPr>
          <w:rFonts w:ascii="Calibri" w:hAnsi="Calibri" w:cs="Calibri"/>
          <w:b/>
          <w:bCs/>
          <w:sz w:val="24"/>
          <w:szCs w:val="24"/>
        </w:rPr>
        <w:t xml:space="preserve">1. </w:t>
      </w:r>
      <w:r w:rsidRPr="0040663E">
        <w:rPr>
          <w:rFonts w:ascii="Calibri" w:hAnsi="Calibri" w:cs="Calibri"/>
          <w:sz w:val="24"/>
          <w:szCs w:val="24"/>
        </w:rPr>
        <w:t xml:space="preserve">This table presents demographic data for women aged 18 to 70 (n=205) from rural areas of </w:t>
      </w:r>
      <w:r w:rsidR="00925BCB" w:rsidRPr="0040663E">
        <w:rPr>
          <w:rFonts w:cstheme="minorHAnsi"/>
          <w:color w:val="000000" w:themeColor="text1"/>
        </w:rPr>
        <w:t xml:space="preserve">Morena (26.4942° N, 78.0010° E), Sagar (23.8388° N, 78.7378° E), Chhindwara (22.0574° N, 78.9382° E), Gwalior (26.2183° N, 78.1828° E), Dhar (22.6013° N, 75.3020° E), and Betul (21.9120° N, 77.9017° E) </w:t>
      </w:r>
      <w:r w:rsidRPr="0040663E">
        <w:rPr>
          <w:rFonts w:ascii="Calibri" w:hAnsi="Calibri" w:cs="Calibri"/>
          <w:sz w:val="24"/>
          <w:szCs w:val="24"/>
        </w:rPr>
        <w:t>in Madhya Pradesh, India, who are regularly exposed to biomass smoke. Participants were divided into two groups: 23 individuals in Group A (ages 18-25) and 182 in Group B (ages above 25) to assess differences in expression biomarkers.</w:t>
      </w:r>
    </w:p>
    <w:tbl>
      <w:tblPr>
        <w:tblStyle w:val="TableGrid"/>
        <w:tblpPr w:leftFromText="180" w:rightFromText="180" w:vertAnchor="text" w:horzAnchor="margin" w:tblpY="147"/>
        <w:tblW w:w="9749" w:type="dxa"/>
        <w:tblInd w:w="0" w:type="dxa"/>
        <w:tblLook w:val="04A0" w:firstRow="1" w:lastRow="0" w:firstColumn="1" w:lastColumn="0" w:noHBand="0" w:noVBand="1"/>
      </w:tblPr>
      <w:tblGrid>
        <w:gridCol w:w="2759"/>
        <w:gridCol w:w="3262"/>
        <w:gridCol w:w="3728"/>
      </w:tblGrid>
      <w:tr w:rsidR="00BC0638" w:rsidRPr="0040663E" w14:paraId="3CF133D9" w14:textId="77777777" w:rsidTr="00B90721">
        <w:trPr>
          <w:trHeight w:val="455"/>
        </w:trPr>
        <w:tc>
          <w:tcPr>
            <w:tcW w:w="2759" w:type="dxa"/>
            <w:tcBorders>
              <w:top w:val="single" w:sz="4" w:space="0" w:color="auto"/>
              <w:left w:val="single" w:sz="4" w:space="0" w:color="auto"/>
              <w:bottom w:val="single" w:sz="4" w:space="0" w:color="auto"/>
              <w:right w:val="single" w:sz="4" w:space="0" w:color="auto"/>
            </w:tcBorders>
            <w:hideMark/>
          </w:tcPr>
          <w:p w14:paraId="1F2BDC70" w14:textId="77777777" w:rsidR="00BC0638" w:rsidRPr="0040663E" w:rsidRDefault="00BC0638" w:rsidP="00BC0638">
            <w:pPr>
              <w:spacing w:line="276" w:lineRule="auto"/>
              <w:ind w:left="142"/>
              <w:jc w:val="both"/>
              <w:rPr>
                <w:rFonts w:cstheme="minorHAnsi"/>
                <w:b/>
                <w:color w:val="000000" w:themeColor="text1"/>
                <w:sz w:val="24"/>
                <w:szCs w:val="24"/>
              </w:rPr>
            </w:pPr>
            <w:r w:rsidRPr="0040663E">
              <w:rPr>
                <w:rFonts w:cstheme="minorHAnsi"/>
                <w:b/>
                <w:color w:val="000000" w:themeColor="text1"/>
                <w:sz w:val="24"/>
                <w:szCs w:val="24"/>
              </w:rPr>
              <w:t xml:space="preserve">Variables </w:t>
            </w:r>
          </w:p>
        </w:tc>
        <w:tc>
          <w:tcPr>
            <w:tcW w:w="3262" w:type="dxa"/>
            <w:tcBorders>
              <w:top w:val="single" w:sz="4" w:space="0" w:color="auto"/>
              <w:left w:val="single" w:sz="4" w:space="0" w:color="auto"/>
              <w:bottom w:val="single" w:sz="4" w:space="0" w:color="auto"/>
              <w:right w:val="single" w:sz="4" w:space="0" w:color="auto"/>
            </w:tcBorders>
            <w:hideMark/>
          </w:tcPr>
          <w:p w14:paraId="70B46996" w14:textId="6F1A66AD" w:rsidR="00BC0638" w:rsidRPr="0040663E" w:rsidRDefault="00BC0638" w:rsidP="00BC0638">
            <w:pPr>
              <w:spacing w:line="276" w:lineRule="auto"/>
              <w:ind w:left="142"/>
              <w:jc w:val="both"/>
              <w:rPr>
                <w:rFonts w:cstheme="minorHAnsi"/>
                <w:b/>
                <w:color w:val="000000" w:themeColor="text1"/>
                <w:sz w:val="24"/>
                <w:szCs w:val="24"/>
              </w:rPr>
            </w:pPr>
            <w:r w:rsidRPr="0040663E">
              <w:rPr>
                <w:rFonts w:cstheme="minorHAnsi"/>
                <w:b/>
                <w:color w:val="000000" w:themeColor="text1"/>
                <w:sz w:val="24"/>
                <w:szCs w:val="24"/>
              </w:rPr>
              <w:t>Less susceptible (Group A)</w:t>
            </w:r>
          </w:p>
        </w:tc>
        <w:tc>
          <w:tcPr>
            <w:tcW w:w="3728" w:type="dxa"/>
            <w:tcBorders>
              <w:top w:val="single" w:sz="4" w:space="0" w:color="auto"/>
              <w:left w:val="single" w:sz="4" w:space="0" w:color="auto"/>
              <w:bottom w:val="single" w:sz="4" w:space="0" w:color="auto"/>
              <w:right w:val="single" w:sz="4" w:space="0" w:color="auto"/>
            </w:tcBorders>
            <w:hideMark/>
          </w:tcPr>
          <w:p w14:paraId="54438279" w14:textId="627494B4" w:rsidR="00BC0638" w:rsidRPr="0040663E" w:rsidRDefault="00BC0638" w:rsidP="00BC0638">
            <w:pPr>
              <w:spacing w:line="276" w:lineRule="auto"/>
              <w:ind w:left="142"/>
              <w:jc w:val="both"/>
              <w:rPr>
                <w:rFonts w:cstheme="minorHAnsi"/>
                <w:b/>
                <w:color w:val="000000" w:themeColor="text1"/>
                <w:sz w:val="24"/>
                <w:szCs w:val="24"/>
              </w:rPr>
            </w:pPr>
            <w:r w:rsidRPr="0040663E">
              <w:rPr>
                <w:rFonts w:cstheme="minorHAnsi"/>
                <w:b/>
                <w:kern w:val="2"/>
                <w:sz w:val="24"/>
                <w:szCs w:val="24"/>
              </w:rPr>
              <w:t xml:space="preserve">More susceptible (Group B) </w:t>
            </w:r>
          </w:p>
        </w:tc>
      </w:tr>
      <w:tr w:rsidR="00BC0638" w:rsidRPr="0040663E" w14:paraId="01106EA8" w14:textId="77777777" w:rsidTr="00B90721">
        <w:trPr>
          <w:trHeight w:val="455"/>
        </w:trPr>
        <w:tc>
          <w:tcPr>
            <w:tcW w:w="2759" w:type="dxa"/>
            <w:tcBorders>
              <w:top w:val="single" w:sz="4" w:space="0" w:color="auto"/>
              <w:left w:val="single" w:sz="4" w:space="0" w:color="auto"/>
              <w:bottom w:val="single" w:sz="4" w:space="0" w:color="auto"/>
              <w:right w:val="single" w:sz="4" w:space="0" w:color="auto"/>
            </w:tcBorders>
            <w:hideMark/>
          </w:tcPr>
          <w:p w14:paraId="0C5EE826" w14:textId="77777777" w:rsidR="00BC0638" w:rsidRPr="0040663E" w:rsidRDefault="00BC0638" w:rsidP="00BC0638">
            <w:pPr>
              <w:spacing w:line="276" w:lineRule="auto"/>
              <w:ind w:left="142"/>
              <w:jc w:val="both"/>
              <w:rPr>
                <w:rFonts w:cstheme="minorHAnsi"/>
                <w:bCs/>
                <w:color w:val="000000" w:themeColor="text1"/>
                <w:sz w:val="24"/>
                <w:szCs w:val="24"/>
              </w:rPr>
            </w:pPr>
            <w:r w:rsidRPr="0040663E">
              <w:rPr>
                <w:rFonts w:cstheme="minorHAnsi"/>
                <w:bCs/>
                <w:color w:val="000000" w:themeColor="text1"/>
                <w:sz w:val="24"/>
                <w:szCs w:val="24"/>
              </w:rPr>
              <w:t>Number</w:t>
            </w:r>
          </w:p>
        </w:tc>
        <w:tc>
          <w:tcPr>
            <w:tcW w:w="3262" w:type="dxa"/>
            <w:tcBorders>
              <w:top w:val="single" w:sz="4" w:space="0" w:color="auto"/>
              <w:left w:val="single" w:sz="4" w:space="0" w:color="auto"/>
              <w:bottom w:val="single" w:sz="4" w:space="0" w:color="auto"/>
              <w:right w:val="single" w:sz="4" w:space="0" w:color="auto"/>
            </w:tcBorders>
            <w:hideMark/>
          </w:tcPr>
          <w:p w14:paraId="2FFCA4E4" w14:textId="5890109D"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color w:val="000000" w:themeColor="text1"/>
                <w:sz w:val="24"/>
                <w:szCs w:val="24"/>
              </w:rPr>
              <w:t>23</w:t>
            </w:r>
          </w:p>
        </w:tc>
        <w:tc>
          <w:tcPr>
            <w:tcW w:w="3728" w:type="dxa"/>
            <w:tcBorders>
              <w:top w:val="single" w:sz="4" w:space="0" w:color="auto"/>
              <w:left w:val="single" w:sz="4" w:space="0" w:color="auto"/>
              <w:bottom w:val="single" w:sz="4" w:space="0" w:color="auto"/>
              <w:right w:val="single" w:sz="4" w:space="0" w:color="auto"/>
            </w:tcBorders>
            <w:hideMark/>
          </w:tcPr>
          <w:p w14:paraId="0A4E8351" w14:textId="2F85A342"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kern w:val="2"/>
                <w:sz w:val="24"/>
                <w:szCs w:val="24"/>
              </w:rPr>
              <w:t>182</w:t>
            </w:r>
          </w:p>
        </w:tc>
      </w:tr>
      <w:tr w:rsidR="00BC0638" w:rsidRPr="0040663E" w14:paraId="375BEEEF" w14:textId="77777777" w:rsidTr="00B90721">
        <w:trPr>
          <w:trHeight w:val="437"/>
        </w:trPr>
        <w:tc>
          <w:tcPr>
            <w:tcW w:w="2759" w:type="dxa"/>
            <w:tcBorders>
              <w:top w:val="single" w:sz="4" w:space="0" w:color="auto"/>
              <w:left w:val="single" w:sz="4" w:space="0" w:color="auto"/>
              <w:bottom w:val="single" w:sz="4" w:space="0" w:color="auto"/>
              <w:right w:val="single" w:sz="4" w:space="0" w:color="auto"/>
            </w:tcBorders>
            <w:hideMark/>
          </w:tcPr>
          <w:p w14:paraId="6E71C74B" w14:textId="77777777" w:rsidR="00BC0638" w:rsidRPr="0040663E" w:rsidRDefault="00BC0638" w:rsidP="00BC0638">
            <w:pPr>
              <w:spacing w:line="276" w:lineRule="auto"/>
              <w:ind w:left="142"/>
              <w:jc w:val="both"/>
              <w:rPr>
                <w:rFonts w:cstheme="minorHAnsi"/>
                <w:bCs/>
                <w:color w:val="000000" w:themeColor="text1"/>
                <w:sz w:val="24"/>
                <w:szCs w:val="24"/>
              </w:rPr>
            </w:pPr>
            <w:r w:rsidRPr="0040663E">
              <w:rPr>
                <w:rFonts w:cstheme="minorHAnsi"/>
                <w:bCs/>
                <w:color w:val="000000" w:themeColor="text1"/>
                <w:sz w:val="24"/>
                <w:szCs w:val="24"/>
              </w:rPr>
              <w:t>Age (years) (Mean ± SD)</w:t>
            </w:r>
          </w:p>
        </w:tc>
        <w:tc>
          <w:tcPr>
            <w:tcW w:w="3262" w:type="dxa"/>
            <w:tcBorders>
              <w:top w:val="single" w:sz="4" w:space="0" w:color="auto"/>
              <w:left w:val="single" w:sz="4" w:space="0" w:color="auto"/>
              <w:bottom w:val="single" w:sz="4" w:space="0" w:color="auto"/>
              <w:right w:val="single" w:sz="4" w:space="0" w:color="auto"/>
            </w:tcBorders>
            <w:hideMark/>
          </w:tcPr>
          <w:p w14:paraId="1DF78528" w14:textId="33696959"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color w:val="000000" w:themeColor="text1"/>
                <w:sz w:val="24"/>
                <w:szCs w:val="24"/>
              </w:rPr>
              <w:t>25 ± 4.8</w:t>
            </w:r>
          </w:p>
        </w:tc>
        <w:tc>
          <w:tcPr>
            <w:tcW w:w="3728" w:type="dxa"/>
            <w:tcBorders>
              <w:top w:val="single" w:sz="4" w:space="0" w:color="auto"/>
              <w:left w:val="single" w:sz="4" w:space="0" w:color="auto"/>
              <w:bottom w:val="single" w:sz="4" w:space="0" w:color="auto"/>
              <w:right w:val="single" w:sz="4" w:space="0" w:color="auto"/>
            </w:tcBorders>
            <w:hideMark/>
          </w:tcPr>
          <w:p w14:paraId="3BBC06C1" w14:textId="670BDB41"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kern w:val="2"/>
                <w:sz w:val="24"/>
                <w:szCs w:val="24"/>
              </w:rPr>
              <w:t xml:space="preserve">25-70 </w:t>
            </w:r>
          </w:p>
        </w:tc>
      </w:tr>
      <w:tr w:rsidR="00BC0638" w:rsidRPr="0040663E" w14:paraId="6DF5472D" w14:textId="77777777" w:rsidTr="00B90721">
        <w:trPr>
          <w:trHeight w:val="455"/>
        </w:trPr>
        <w:tc>
          <w:tcPr>
            <w:tcW w:w="2759" w:type="dxa"/>
            <w:tcBorders>
              <w:top w:val="single" w:sz="4" w:space="0" w:color="auto"/>
              <w:left w:val="single" w:sz="4" w:space="0" w:color="auto"/>
              <w:bottom w:val="single" w:sz="4" w:space="0" w:color="auto"/>
              <w:right w:val="single" w:sz="4" w:space="0" w:color="auto"/>
            </w:tcBorders>
            <w:hideMark/>
          </w:tcPr>
          <w:p w14:paraId="5CEA11FA" w14:textId="77777777" w:rsidR="00BC0638" w:rsidRPr="0040663E" w:rsidRDefault="00BC0638" w:rsidP="00BC0638">
            <w:pPr>
              <w:spacing w:line="276" w:lineRule="auto"/>
              <w:ind w:left="142"/>
              <w:jc w:val="both"/>
              <w:rPr>
                <w:rFonts w:cstheme="minorHAnsi"/>
                <w:bCs/>
                <w:color w:val="000000" w:themeColor="text1"/>
                <w:sz w:val="24"/>
                <w:szCs w:val="24"/>
              </w:rPr>
            </w:pPr>
            <w:r w:rsidRPr="0040663E">
              <w:rPr>
                <w:rFonts w:cstheme="minorHAnsi"/>
                <w:bCs/>
                <w:color w:val="000000" w:themeColor="text1"/>
                <w:sz w:val="24"/>
                <w:szCs w:val="24"/>
              </w:rPr>
              <w:t>Marital status</w:t>
            </w:r>
          </w:p>
        </w:tc>
        <w:tc>
          <w:tcPr>
            <w:tcW w:w="3262" w:type="dxa"/>
            <w:tcBorders>
              <w:top w:val="single" w:sz="4" w:space="0" w:color="auto"/>
              <w:left w:val="single" w:sz="4" w:space="0" w:color="auto"/>
              <w:bottom w:val="single" w:sz="4" w:space="0" w:color="auto"/>
              <w:right w:val="single" w:sz="4" w:space="0" w:color="auto"/>
            </w:tcBorders>
            <w:hideMark/>
          </w:tcPr>
          <w:p w14:paraId="1AC084C8" w14:textId="5D9AAF2E"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color w:val="000000" w:themeColor="text1"/>
                <w:sz w:val="24"/>
                <w:szCs w:val="24"/>
              </w:rPr>
              <w:t>Unmarried and married</w:t>
            </w:r>
          </w:p>
        </w:tc>
        <w:tc>
          <w:tcPr>
            <w:tcW w:w="3728" w:type="dxa"/>
            <w:tcBorders>
              <w:top w:val="single" w:sz="4" w:space="0" w:color="auto"/>
              <w:left w:val="single" w:sz="4" w:space="0" w:color="auto"/>
              <w:bottom w:val="single" w:sz="4" w:space="0" w:color="auto"/>
              <w:right w:val="single" w:sz="4" w:space="0" w:color="auto"/>
            </w:tcBorders>
            <w:hideMark/>
          </w:tcPr>
          <w:p w14:paraId="66B2A1C7" w14:textId="5C8CACDC"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kern w:val="2"/>
                <w:sz w:val="24"/>
                <w:szCs w:val="24"/>
              </w:rPr>
              <w:t>Married</w:t>
            </w:r>
          </w:p>
        </w:tc>
      </w:tr>
      <w:tr w:rsidR="00BC0638" w:rsidRPr="0040663E" w14:paraId="3E82362F" w14:textId="77777777" w:rsidTr="00B90721">
        <w:trPr>
          <w:trHeight w:val="455"/>
        </w:trPr>
        <w:tc>
          <w:tcPr>
            <w:tcW w:w="2759" w:type="dxa"/>
            <w:tcBorders>
              <w:top w:val="single" w:sz="4" w:space="0" w:color="auto"/>
              <w:left w:val="single" w:sz="4" w:space="0" w:color="auto"/>
              <w:bottom w:val="single" w:sz="4" w:space="0" w:color="auto"/>
              <w:right w:val="single" w:sz="4" w:space="0" w:color="auto"/>
            </w:tcBorders>
            <w:hideMark/>
          </w:tcPr>
          <w:p w14:paraId="75B87B29" w14:textId="77777777" w:rsidR="00BC0638" w:rsidRPr="0040663E" w:rsidRDefault="00BC0638" w:rsidP="00BC0638">
            <w:pPr>
              <w:spacing w:line="276" w:lineRule="auto"/>
              <w:ind w:left="142"/>
              <w:jc w:val="both"/>
              <w:rPr>
                <w:rFonts w:cstheme="minorHAnsi"/>
                <w:bCs/>
                <w:color w:val="000000" w:themeColor="text1"/>
                <w:sz w:val="24"/>
                <w:szCs w:val="24"/>
              </w:rPr>
            </w:pPr>
            <w:r w:rsidRPr="0040663E">
              <w:rPr>
                <w:rFonts w:cstheme="minorHAnsi"/>
                <w:bCs/>
                <w:color w:val="000000" w:themeColor="text1"/>
                <w:sz w:val="24"/>
                <w:szCs w:val="24"/>
              </w:rPr>
              <w:t>Literacy status</w:t>
            </w:r>
          </w:p>
        </w:tc>
        <w:tc>
          <w:tcPr>
            <w:tcW w:w="3262" w:type="dxa"/>
            <w:tcBorders>
              <w:top w:val="single" w:sz="4" w:space="0" w:color="auto"/>
              <w:left w:val="single" w:sz="4" w:space="0" w:color="auto"/>
              <w:bottom w:val="single" w:sz="4" w:space="0" w:color="auto"/>
              <w:right w:val="single" w:sz="4" w:space="0" w:color="auto"/>
            </w:tcBorders>
            <w:hideMark/>
          </w:tcPr>
          <w:p w14:paraId="4159D0CD" w14:textId="26782E3C"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color w:val="000000" w:themeColor="text1"/>
                <w:sz w:val="24"/>
                <w:szCs w:val="24"/>
              </w:rPr>
              <w:t>Basic</w:t>
            </w:r>
          </w:p>
        </w:tc>
        <w:tc>
          <w:tcPr>
            <w:tcW w:w="3728" w:type="dxa"/>
            <w:tcBorders>
              <w:top w:val="single" w:sz="4" w:space="0" w:color="auto"/>
              <w:left w:val="single" w:sz="4" w:space="0" w:color="auto"/>
              <w:bottom w:val="single" w:sz="4" w:space="0" w:color="auto"/>
              <w:right w:val="single" w:sz="4" w:space="0" w:color="auto"/>
            </w:tcBorders>
            <w:hideMark/>
          </w:tcPr>
          <w:p w14:paraId="2DAC1A85" w14:textId="24A25CB7"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kern w:val="2"/>
                <w:sz w:val="24"/>
                <w:szCs w:val="24"/>
              </w:rPr>
              <w:t>Basic</w:t>
            </w:r>
          </w:p>
        </w:tc>
      </w:tr>
      <w:tr w:rsidR="00BC0638" w:rsidRPr="0040663E" w14:paraId="47BF4ACC" w14:textId="77777777" w:rsidTr="00B90721">
        <w:trPr>
          <w:trHeight w:val="455"/>
        </w:trPr>
        <w:tc>
          <w:tcPr>
            <w:tcW w:w="2759" w:type="dxa"/>
            <w:tcBorders>
              <w:top w:val="single" w:sz="4" w:space="0" w:color="auto"/>
              <w:left w:val="single" w:sz="4" w:space="0" w:color="auto"/>
              <w:bottom w:val="single" w:sz="4" w:space="0" w:color="auto"/>
              <w:right w:val="single" w:sz="4" w:space="0" w:color="auto"/>
            </w:tcBorders>
            <w:hideMark/>
          </w:tcPr>
          <w:p w14:paraId="2465890F" w14:textId="77777777" w:rsidR="00BC0638" w:rsidRPr="0040663E" w:rsidRDefault="00BC0638" w:rsidP="00BC0638">
            <w:pPr>
              <w:spacing w:line="276" w:lineRule="auto"/>
              <w:ind w:left="142"/>
              <w:jc w:val="both"/>
              <w:rPr>
                <w:rFonts w:cstheme="minorHAnsi"/>
                <w:bCs/>
                <w:color w:val="000000" w:themeColor="text1"/>
                <w:sz w:val="24"/>
                <w:szCs w:val="24"/>
              </w:rPr>
            </w:pPr>
            <w:r w:rsidRPr="0040663E">
              <w:rPr>
                <w:rFonts w:cstheme="minorHAnsi"/>
                <w:bCs/>
                <w:color w:val="000000" w:themeColor="text1"/>
                <w:sz w:val="24"/>
                <w:szCs w:val="24"/>
              </w:rPr>
              <w:t>Occupation</w:t>
            </w:r>
          </w:p>
        </w:tc>
        <w:tc>
          <w:tcPr>
            <w:tcW w:w="3262" w:type="dxa"/>
            <w:tcBorders>
              <w:top w:val="single" w:sz="4" w:space="0" w:color="auto"/>
              <w:left w:val="single" w:sz="4" w:space="0" w:color="auto"/>
              <w:bottom w:val="single" w:sz="4" w:space="0" w:color="auto"/>
              <w:right w:val="single" w:sz="4" w:space="0" w:color="auto"/>
            </w:tcBorders>
            <w:hideMark/>
          </w:tcPr>
          <w:p w14:paraId="6647D213" w14:textId="6ECF4937"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color w:val="000000" w:themeColor="text1"/>
                <w:sz w:val="24"/>
                <w:szCs w:val="24"/>
              </w:rPr>
              <w:t>Homemaker</w:t>
            </w:r>
          </w:p>
        </w:tc>
        <w:tc>
          <w:tcPr>
            <w:tcW w:w="3728" w:type="dxa"/>
            <w:tcBorders>
              <w:top w:val="single" w:sz="4" w:space="0" w:color="auto"/>
              <w:left w:val="single" w:sz="4" w:space="0" w:color="auto"/>
              <w:bottom w:val="single" w:sz="4" w:space="0" w:color="auto"/>
              <w:right w:val="single" w:sz="4" w:space="0" w:color="auto"/>
            </w:tcBorders>
            <w:hideMark/>
          </w:tcPr>
          <w:p w14:paraId="6C5303A2" w14:textId="3726153D"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kern w:val="2"/>
                <w:sz w:val="24"/>
                <w:szCs w:val="24"/>
              </w:rPr>
              <w:t>Homemaker</w:t>
            </w:r>
          </w:p>
        </w:tc>
      </w:tr>
      <w:tr w:rsidR="00BC0638" w:rsidRPr="0040663E" w14:paraId="2A4824B4" w14:textId="77777777" w:rsidTr="00B90721">
        <w:trPr>
          <w:trHeight w:val="455"/>
        </w:trPr>
        <w:tc>
          <w:tcPr>
            <w:tcW w:w="2759" w:type="dxa"/>
            <w:tcBorders>
              <w:top w:val="single" w:sz="4" w:space="0" w:color="auto"/>
              <w:left w:val="single" w:sz="4" w:space="0" w:color="auto"/>
              <w:bottom w:val="single" w:sz="4" w:space="0" w:color="auto"/>
              <w:right w:val="single" w:sz="4" w:space="0" w:color="auto"/>
            </w:tcBorders>
            <w:hideMark/>
          </w:tcPr>
          <w:p w14:paraId="10A55226" w14:textId="77777777" w:rsidR="00BC0638" w:rsidRPr="0040663E" w:rsidRDefault="00BC0638" w:rsidP="00BC0638">
            <w:pPr>
              <w:spacing w:line="276" w:lineRule="auto"/>
              <w:ind w:left="142"/>
              <w:jc w:val="both"/>
              <w:rPr>
                <w:rFonts w:cstheme="minorHAnsi"/>
                <w:bCs/>
                <w:color w:val="000000" w:themeColor="text1"/>
                <w:sz w:val="24"/>
                <w:szCs w:val="24"/>
              </w:rPr>
            </w:pPr>
            <w:r w:rsidRPr="0040663E">
              <w:rPr>
                <w:rFonts w:eastAsia="CFFMM O+ STIX Math Calligraphy" w:cstheme="minorHAnsi"/>
                <w:bCs/>
                <w:color w:val="000000" w:themeColor="text1"/>
                <w:sz w:val="24"/>
                <w:szCs w:val="24"/>
              </w:rPr>
              <w:t>Family income (INR)</w:t>
            </w:r>
          </w:p>
        </w:tc>
        <w:tc>
          <w:tcPr>
            <w:tcW w:w="3262" w:type="dxa"/>
            <w:tcBorders>
              <w:top w:val="single" w:sz="4" w:space="0" w:color="auto"/>
              <w:left w:val="single" w:sz="4" w:space="0" w:color="auto"/>
              <w:bottom w:val="single" w:sz="4" w:space="0" w:color="auto"/>
              <w:right w:val="single" w:sz="4" w:space="0" w:color="auto"/>
            </w:tcBorders>
            <w:hideMark/>
          </w:tcPr>
          <w:p w14:paraId="314D2DB5" w14:textId="16185CB1"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color w:val="000000" w:themeColor="text1"/>
                <w:sz w:val="24"/>
                <w:szCs w:val="24"/>
              </w:rPr>
              <w:t>≤ 2,50,000/-</w:t>
            </w:r>
          </w:p>
        </w:tc>
        <w:tc>
          <w:tcPr>
            <w:tcW w:w="3728" w:type="dxa"/>
            <w:tcBorders>
              <w:top w:val="single" w:sz="4" w:space="0" w:color="auto"/>
              <w:left w:val="single" w:sz="4" w:space="0" w:color="auto"/>
              <w:bottom w:val="single" w:sz="4" w:space="0" w:color="auto"/>
              <w:right w:val="single" w:sz="4" w:space="0" w:color="auto"/>
            </w:tcBorders>
            <w:hideMark/>
          </w:tcPr>
          <w:p w14:paraId="78DF518A" w14:textId="4BAF8E77"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kern w:val="2"/>
                <w:sz w:val="24"/>
                <w:szCs w:val="24"/>
              </w:rPr>
              <w:t>≤ 2,50,000/-</w:t>
            </w:r>
          </w:p>
        </w:tc>
      </w:tr>
      <w:tr w:rsidR="00BC0638" w:rsidRPr="0040663E" w14:paraId="0A7B6309" w14:textId="77777777" w:rsidTr="00B90721">
        <w:trPr>
          <w:trHeight w:val="437"/>
        </w:trPr>
        <w:tc>
          <w:tcPr>
            <w:tcW w:w="2759" w:type="dxa"/>
            <w:tcBorders>
              <w:top w:val="single" w:sz="4" w:space="0" w:color="auto"/>
              <w:left w:val="single" w:sz="4" w:space="0" w:color="auto"/>
              <w:bottom w:val="single" w:sz="4" w:space="0" w:color="auto"/>
              <w:right w:val="single" w:sz="4" w:space="0" w:color="auto"/>
            </w:tcBorders>
            <w:hideMark/>
          </w:tcPr>
          <w:p w14:paraId="2CB4D3C0" w14:textId="77777777" w:rsidR="00BC0638" w:rsidRPr="0040663E" w:rsidRDefault="00BC0638" w:rsidP="00BC0638">
            <w:pPr>
              <w:spacing w:line="276" w:lineRule="auto"/>
              <w:ind w:left="142"/>
              <w:jc w:val="both"/>
              <w:rPr>
                <w:rFonts w:cstheme="minorHAnsi"/>
                <w:bCs/>
                <w:color w:val="000000" w:themeColor="text1"/>
                <w:sz w:val="24"/>
                <w:szCs w:val="24"/>
              </w:rPr>
            </w:pPr>
            <w:r w:rsidRPr="0040663E">
              <w:rPr>
                <w:rFonts w:cstheme="minorHAnsi"/>
                <w:bCs/>
                <w:color w:val="000000" w:themeColor="text1"/>
                <w:sz w:val="24"/>
                <w:szCs w:val="24"/>
              </w:rPr>
              <w:t>Cooking hours</w:t>
            </w:r>
          </w:p>
        </w:tc>
        <w:tc>
          <w:tcPr>
            <w:tcW w:w="3262" w:type="dxa"/>
            <w:tcBorders>
              <w:top w:val="single" w:sz="4" w:space="0" w:color="auto"/>
              <w:left w:val="single" w:sz="4" w:space="0" w:color="auto"/>
              <w:bottom w:val="single" w:sz="4" w:space="0" w:color="auto"/>
              <w:right w:val="single" w:sz="4" w:space="0" w:color="auto"/>
            </w:tcBorders>
            <w:hideMark/>
          </w:tcPr>
          <w:p w14:paraId="302C35BB" w14:textId="44962D56"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color w:val="000000" w:themeColor="text1"/>
                <w:sz w:val="24"/>
                <w:szCs w:val="24"/>
              </w:rPr>
              <w:t>1.98 ± 0.38</w:t>
            </w:r>
          </w:p>
        </w:tc>
        <w:tc>
          <w:tcPr>
            <w:tcW w:w="3728" w:type="dxa"/>
            <w:tcBorders>
              <w:top w:val="single" w:sz="4" w:space="0" w:color="auto"/>
              <w:left w:val="single" w:sz="4" w:space="0" w:color="auto"/>
              <w:bottom w:val="single" w:sz="4" w:space="0" w:color="auto"/>
              <w:right w:val="single" w:sz="4" w:space="0" w:color="auto"/>
            </w:tcBorders>
            <w:hideMark/>
          </w:tcPr>
          <w:p w14:paraId="2B161DA1" w14:textId="7CE46054"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kern w:val="2"/>
                <w:sz w:val="24"/>
                <w:szCs w:val="24"/>
              </w:rPr>
              <w:t>2.5 ± 0.26</w:t>
            </w:r>
          </w:p>
        </w:tc>
      </w:tr>
      <w:tr w:rsidR="00BC0638" w:rsidRPr="0040663E" w14:paraId="2CB6BA3E" w14:textId="77777777" w:rsidTr="00B90721">
        <w:trPr>
          <w:trHeight w:val="455"/>
        </w:trPr>
        <w:tc>
          <w:tcPr>
            <w:tcW w:w="2759" w:type="dxa"/>
            <w:tcBorders>
              <w:top w:val="single" w:sz="4" w:space="0" w:color="auto"/>
              <w:left w:val="single" w:sz="4" w:space="0" w:color="auto"/>
              <w:bottom w:val="single" w:sz="4" w:space="0" w:color="auto"/>
              <w:right w:val="single" w:sz="4" w:space="0" w:color="auto"/>
            </w:tcBorders>
            <w:hideMark/>
          </w:tcPr>
          <w:p w14:paraId="3A9316ED" w14:textId="77777777" w:rsidR="00BC0638" w:rsidRPr="0040663E" w:rsidRDefault="00BC0638" w:rsidP="00BC0638">
            <w:pPr>
              <w:spacing w:line="276" w:lineRule="auto"/>
              <w:ind w:left="142"/>
              <w:jc w:val="both"/>
              <w:rPr>
                <w:rFonts w:eastAsia="CFFMM O+ STIX Math Calligraphy" w:cstheme="minorHAnsi"/>
                <w:bCs/>
                <w:color w:val="000000" w:themeColor="text1"/>
                <w:sz w:val="24"/>
                <w:szCs w:val="24"/>
              </w:rPr>
            </w:pPr>
            <w:r w:rsidRPr="0040663E">
              <w:rPr>
                <w:rFonts w:eastAsia="CFFPC E+ STIX Math Calligraphy" w:cstheme="minorHAnsi"/>
                <w:bCs/>
                <w:color w:val="000000" w:themeColor="text1"/>
                <w:sz w:val="24"/>
                <w:szCs w:val="24"/>
              </w:rPr>
              <w:t>Type of exposure</w:t>
            </w:r>
          </w:p>
        </w:tc>
        <w:tc>
          <w:tcPr>
            <w:tcW w:w="3262" w:type="dxa"/>
            <w:tcBorders>
              <w:top w:val="single" w:sz="4" w:space="0" w:color="auto"/>
              <w:left w:val="single" w:sz="4" w:space="0" w:color="auto"/>
              <w:bottom w:val="single" w:sz="4" w:space="0" w:color="auto"/>
              <w:right w:val="single" w:sz="4" w:space="0" w:color="auto"/>
            </w:tcBorders>
            <w:hideMark/>
          </w:tcPr>
          <w:p w14:paraId="37E366F4" w14:textId="0F976C74"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color w:val="000000" w:themeColor="text1"/>
                <w:sz w:val="24"/>
                <w:szCs w:val="24"/>
              </w:rPr>
              <w:t>Indoor</w:t>
            </w:r>
          </w:p>
        </w:tc>
        <w:tc>
          <w:tcPr>
            <w:tcW w:w="3728" w:type="dxa"/>
            <w:tcBorders>
              <w:top w:val="single" w:sz="4" w:space="0" w:color="auto"/>
              <w:left w:val="single" w:sz="4" w:space="0" w:color="auto"/>
              <w:bottom w:val="single" w:sz="4" w:space="0" w:color="auto"/>
              <w:right w:val="single" w:sz="4" w:space="0" w:color="auto"/>
            </w:tcBorders>
            <w:hideMark/>
          </w:tcPr>
          <w:p w14:paraId="29F164DA" w14:textId="0B34B398"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kern w:val="2"/>
                <w:sz w:val="24"/>
                <w:szCs w:val="24"/>
              </w:rPr>
              <w:t>Indoor</w:t>
            </w:r>
          </w:p>
        </w:tc>
      </w:tr>
      <w:tr w:rsidR="00BC0638" w:rsidRPr="0040663E" w14:paraId="0C5A1935" w14:textId="77777777" w:rsidTr="00B90721">
        <w:trPr>
          <w:trHeight w:val="455"/>
        </w:trPr>
        <w:tc>
          <w:tcPr>
            <w:tcW w:w="2759" w:type="dxa"/>
            <w:tcBorders>
              <w:top w:val="single" w:sz="4" w:space="0" w:color="auto"/>
              <w:left w:val="single" w:sz="4" w:space="0" w:color="auto"/>
              <w:bottom w:val="single" w:sz="4" w:space="0" w:color="auto"/>
              <w:right w:val="single" w:sz="4" w:space="0" w:color="auto"/>
            </w:tcBorders>
            <w:hideMark/>
          </w:tcPr>
          <w:p w14:paraId="79139517" w14:textId="77777777" w:rsidR="00BC0638" w:rsidRPr="0040663E" w:rsidRDefault="00BC0638" w:rsidP="00BC0638">
            <w:pPr>
              <w:spacing w:line="276" w:lineRule="auto"/>
              <w:ind w:left="142"/>
              <w:jc w:val="both"/>
              <w:rPr>
                <w:rFonts w:eastAsia="CFFPC E+ STIX Math Calligraphy" w:cstheme="minorHAnsi"/>
                <w:bCs/>
                <w:color w:val="000000" w:themeColor="text1"/>
                <w:sz w:val="24"/>
                <w:szCs w:val="24"/>
              </w:rPr>
            </w:pPr>
            <w:r w:rsidRPr="0040663E">
              <w:rPr>
                <w:rFonts w:eastAsia="CFFPC E+ STIX Math Calligraphy" w:cstheme="minorHAnsi"/>
                <w:bCs/>
                <w:color w:val="000000" w:themeColor="text1"/>
                <w:sz w:val="24"/>
                <w:szCs w:val="24"/>
              </w:rPr>
              <w:t>Fuel type used</w:t>
            </w:r>
          </w:p>
        </w:tc>
        <w:tc>
          <w:tcPr>
            <w:tcW w:w="3262" w:type="dxa"/>
            <w:tcBorders>
              <w:top w:val="single" w:sz="4" w:space="0" w:color="auto"/>
              <w:left w:val="single" w:sz="4" w:space="0" w:color="auto"/>
              <w:bottom w:val="single" w:sz="4" w:space="0" w:color="auto"/>
              <w:right w:val="single" w:sz="4" w:space="0" w:color="auto"/>
            </w:tcBorders>
            <w:hideMark/>
          </w:tcPr>
          <w:p w14:paraId="7F4B98E0" w14:textId="0A0EFDB8"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color w:val="000000" w:themeColor="text1"/>
                <w:sz w:val="24"/>
                <w:szCs w:val="24"/>
              </w:rPr>
              <w:t>LPG/Electric</w:t>
            </w:r>
          </w:p>
        </w:tc>
        <w:tc>
          <w:tcPr>
            <w:tcW w:w="3728" w:type="dxa"/>
            <w:tcBorders>
              <w:top w:val="single" w:sz="4" w:space="0" w:color="auto"/>
              <w:left w:val="single" w:sz="4" w:space="0" w:color="auto"/>
              <w:bottom w:val="single" w:sz="4" w:space="0" w:color="auto"/>
              <w:right w:val="single" w:sz="4" w:space="0" w:color="auto"/>
            </w:tcBorders>
            <w:hideMark/>
          </w:tcPr>
          <w:p w14:paraId="1234BD98" w14:textId="7B020E9A"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kern w:val="2"/>
                <w:sz w:val="24"/>
                <w:szCs w:val="24"/>
              </w:rPr>
              <w:t>Biomass/Solid fuel</w:t>
            </w:r>
          </w:p>
        </w:tc>
      </w:tr>
      <w:tr w:rsidR="00BC0638" w:rsidRPr="0040663E" w14:paraId="5995293A" w14:textId="77777777" w:rsidTr="00B90721">
        <w:trPr>
          <w:trHeight w:val="455"/>
        </w:trPr>
        <w:tc>
          <w:tcPr>
            <w:tcW w:w="2759" w:type="dxa"/>
            <w:tcBorders>
              <w:top w:val="single" w:sz="4" w:space="0" w:color="auto"/>
              <w:left w:val="single" w:sz="4" w:space="0" w:color="auto"/>
              <w:bottom w:val="single" w:sz="4" w:space="0" w:color="auto"/>
              <w:right w:val="single" w:sz="4" w:space="0" w:color="auto"/>
            </w:tcBorders>
            <w:hideMark/>
          </w:tcPr>
          <w:p w14:paraId="7785C770" w14:textId="77777777" w:rsidR="00BC0638" w:rsidRPr="0040663E" w:rsidRDefault="00BC0638" w:rsidP="00BC0638">
            <w:pPr>
              <w:spacing w:line="276" w:lineRule="auto"/>
              <w:ind w:left="142"/>
              <w:jc w:val="both"/>
              <w:rPr>
                <w:rFonts w:eastAsia="CFFPC E+ STIX Math Calligraphy" w:cstheme="minorHAnsi"/>
                <w:bCs/>
                <w:color w:val="000000" w:themeColor="text1"/>
                <w:sz w:val="24"/>
                <w:szCs w:val="24"/>
              </w:rPr>
            </w:pPr>
            <w:r w:rsidRPr="0040663E">
              <w:rPr>
                <w:rFonts w:eastAsia="CFFPC E+ STIX Math Calligraphy" w:cstheme="minorHAnsi"/>
                <w:bCs/>
                <w:color w:val="000000" w:themeColor="text1"/>
                <w:sz w:val="24"/>
                <w:szCs w:val="24"/>
              </w:rPr>
              <w:t>House type</w:t>
            </w:r>
          </w:p>
        </w:tc>
        <w:tc>
          <w:tcPr>
            <w:tcW w:w="3262" w:type="dxa"/>
            <w:tcBorders>
              <w:top w:val="single" w:sz="4" w:space="0" w:color="auto"/>
              <w:left w:val="single" w:sz="4" w:space="0" w:color="auto"/>
              <w:bottom w:val="single" w:sz="4" w:space="0" w:color="auto"/>
              <w:right w:val="single" w:sz="4" w:space="0" w:color="auto"/>
            </w:tcBorders>
            <w:hideMark/>
          </w:tcPr>
          <w:p w14:paraId="624114F0" w14:textId="2D0B0A32"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color w:val="000000" w:themeColor="text1"/>
                <w:sz w:val="24"/>
                <w:szCs w:val="24"/>
              </w:rPr>
              <w:t>Concrete</w:t>
            </w:r>
          </w:p>
        </w:tc>
        <w:tc>
          <w:tcPr>
            <w:tcW w:w="3728" w:type="dxa"/>
            <w:tcBorders>
              <w:top w:val="single" w:sz="4" w:space="0" w:color="auto"/>
              <w:left w:val="single" w:sz="4" w:space="0" w:color="auto"/>
              <w:bottom w:val="single" w:sz="4" w:space="0" w:color="auto"/>
              <w:right w:val="single" w:sz="4" w:space="0" w:color="auto"/>
            </w:tcBorders>
            <w:hideMark/>
          </w:tcPr>
          <w:p w14:paraId="75CD21C3" w14:textId="5D1305CF"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kern w:val="2"/>
                <w:sz w:val="24"/>
                <w:szCs w:val="24"/>
              </w:rPr>
              <w:t>Mud wood</w:t>
            </w:r>
          </w:p>
        </w:tc>
      </w:tr>
      <w:tr w:rsidR="00BC0638" w:rsidRPr="0040663E" w14:paraId="2D53FE95" w14:textId="77777777" w:rsidTr="00B90721">
        <w:trPr>
          <w:trHeight w:val="455"/>
        </w:trPr>
        <w:tc>
          <w:tcPr>
            <w:tcW w:w="2759" w:type="dxa"/>
            <w:tcBorders>
              <w:top w:val="single" w:sz="4" w:space="0" w:color="auto"/>
              <w:left w:val="single" w:sz="4" w:space="0" w:color="auto"/>
              <w:bottom w:val="single" w:sz="4" w:space="0" w:color="auto"/>
              <w:right w:val="single" w:sz="4" w:space="0" w:color="auto"/>
            </w:tcBorders>
            <w:hideMark/>
          </w:tcPr>
          <w:p w14:paraId="4A5B8BC8" w14:textId="77777777" w:rsidR="00BC0638" w:rsidRPr="0040663E" w:rsidRDefault="00BC0638" w:rsidP="00BC0638">
            <w:pPr>
              <w:spacing w:line="276" w:lineRule="auto"/>
              <w:ind w:left="142"/>
              <w:jc w:val="both"/>
              <w:rPr>
                <w:rFonts w:eastAsia="CFFPC E+ STIX Math Calligraphy" w:cstheme="minorHAnsi"/>
                <w:bCs/>
                <w:color w:val="000000" w:themeColor="text1"/>
                <w:sz w:val="24"/>
                <w:szCs w:val="24"/>
              </w:rPr>
            </w:pPr>
            <w:r w:rsidRPr="0040663E">
              <w:rPr>
                <w:rFonts w:eastAsia="CFFPC E+ STIX Math Calligraphy" w:cstheme="minorHAnsi"/>
                <w:bCs/>
                <w:color w:val="000000" w:themeColor="text1"/>
                <w:sz w:val="24"/>
                <w:szCs w:val="24"/>
              </w:rPr>
              <w:t>Smokers</w:t>
            </w:r>
          </w:p>
        </w:tc>
        <w:tc>
          <w:tcPr>
            <w:tcW w:w="3262" w:type="dxa"/>
            <w:tcBorders>
              <w:top w:val="single" w:sz="4" w:space="0" w:color="auto"/>
              <w:left w:val="single" w:sz="4" w:space="0" w:color="auto"/>
              <w:bottom w:val="single" w:sz="4" w:space="0" w:color="auto"/>
              <w:right w:val="single" w:sz="4" w:space="0" w:color="auto"/>
            </w:tcBorders>
            <w:hideMark/>
          </w:tcPr>
          <w:p w14:paraId="350E5F35" w14:textId="6D5D6EC3"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color w:val="000000" w:themeColor="text1"/>
                <w:sz w:val="24"/>
                <w:szCs w:val="24"/>
              </w:rPr>
              <w:t>None</w:t>
            </w:r>
          </w:p>
        </w:tc>
        <w:tc>
          <w:tcPr>
            <w:tcW w:w="3728" w:type="dxa"/>
            <w:tcBorders>
              <w:top w:val="single" w:sz="4" w:space="0" w:color="auto"/>
              <w:left w:val="single" w:sz="4" w:space="0" w:color="auto"/>
              <w:bottom w:val="single" w:sz="4" w:space="0" w:color="auto"/>
              <w:right w:val="single" w:sz="4" w:space="0" w:color="auto"/>
            </w:tcBorders>
            <w:hideMark/>
          </w:tcPr>
          <w:p w14:paraId="03674F25" w14:textId="58EE87D4"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kern w:val="2"/>
                <w:sz w:val="24"/>
                <w:szCs w:val="24"/>
              </w:rPr>
              <w:t>None</w:t>
            </w:r>
          </w:p>
        </w:tc>
      </w:tr>
      <w:tr w:rsidR="00BC0638" w:rsidRPr="0040663E" w14:paraId="034089EB" w14:textId="77777777" w:rsidTr="00B90721">
        <w:trPr>
          <w:trHeight w:val="437"/>
        </w:trPr>
        <w:tc>
          <w:tcPr>
            <w:tcW w:w="2759" w:type="dxa"/>
            <w:tcBorders>
              <w:top w:val="single" w:sz="4" w:space="0" w:color="auto"/>
              <w:left w:val="single" w:sz="4" w:space="0" w:color="auto"/>
              <w:bottom w:val="single" w:sz="4" w:space="0" w:color="auto"/>
              <w:right w:val="single" w:sz="4" w:space="0" w:color="auto"/>
            </w:tcBorders>
            <w:hideMark/>
          </w:tcPr>
          <w:p w14:paraId="0A5A6031" w14:textId="77777777" w:rsidR="00BC0638" w:rsidRPr="0040663E" w:rsidRDefault="00BC0638" w:rsidP="00BC0638">
            <w:pPr>
              <w:spacing w:line="276" w:lineRule="auto"/>
              <w:ind w:left="142"/>
              <w:jc w:val="both"/>
              <w:rPr>
                <w:rFonts w:eastAsia="CFFPC E+ STIX Math Calligraphy" w:cstheme="minorHAnsi"/>
                <w:bCs/>
                <w:color w:val="000000" w:themeColor="text1"/>
                <w:sz w:val="24"/>
                <w:szCs w:val="24"/>
              </w:rPr>
            </w:pPr>
            <w:r w:rsidRPr="0040663E">
              <w:rPr>
                <w:rFonts w:eastAsia="CFFPC E+ STIX Math Calligraphy" w:cstheme="minorHAnsi"/>
                <w:bCs/>
                <w:color w:val="000000" w:themeColor="text1"/>
                <w:sz w:val="24"/>
                <w:szCs w:val="24"/>
              </w:rPr>
              <w:t>Co-morbidity</w:t>
            </w:r>
          </w:p>
        </w:tc>
        <w:tc>
          <w:tcPr>
            <w:tcW w:w="3262" w:type="dxa"/>
            <w:tcBorders>
              <w:top w:val="single" w:sz="4" w:space="0" w:color="auto"/>
              <w:left w:val="single" w:sz="4" w:space="0" w:color="auto"/>
              <w:bottom w:val="single" w:sz="4" w:space="0" w:color="auto"/>
              <w:right w:val="single" w:sz="4" w:space="0" w:color="auto"/>
            </w:tcBorders>
            <w:hideMark/>
          </w:tcPr>
          <w:p w14:paraId="4828E4E8" w14:textId="2586EC1C"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color w:val="000000" w:themeColor="text1"/>
                <w:sz w:val="24"/>
                <w:szCs w:val="24"/>
              </w:rPr>
              <w:t>None</w:t>
            </w:r>
          </w:p>
        </w:tc>
        <w:tc>
          <w:tcPr>
            <w:tcW w:w="3728" w:type="dxa"/>
            <w:tcBorders>
              <w:top w:val="single" w:sz="4" w:space="0" w:color="auto"/>
              <w:left w:val="single" w:sz="4" w:space="0" w:color="auto"/>
              <w:bottom w:val="single" w:sz="4" w:space="0" w:color="auto"/>
              <w:right w:val="single" w:sz="4" w:space="0" w:color="auto"/>
            </w:tcBorders>
            <w:hideMark/>
          </w:tcPr>
          <w:p w14:paraId="63E27F75" w14:textId="3ECA33BE" w:rsidR="00BC0638" w:rsidRPr="0040663E" w:rsidRDefault="00BC0638" w:rsidP="00BC0638">
            <w:pPr>
              <w:spacing w:line="276" w:lineRule="auto"/>
              <w:ind w:left="142"/>
              <w:jc w:val="both"/>
              <w:rPr>
                <w:rFonts w:cstheme="minorHAnsi"/>
                <w:color w:val="000000" w:themeColor="text1"/>
                <w:sz w:val="24"/>
                <w:szCs w:val="24"/>
              </w:rPr>
            </w:pPr>
            <w:r w:rsidRPr="0040663E">
              <w:rPr>
                <w:rFonts w:cstheme="minorHAnsi"/>
                <w:kern w:val="2"/>
                <w:sz w:val="24"/>
                <w:szCs w:val="24"/>
              </w:rPr>
              <w:t>None</w:t>
            </w:r>
          </w:p>
        </w:tc>
      </w:tr>
    </w:tbl>
    <w:p w14:paraId="1907EA4E" w14:textId="1CAB75A2" w:rsidR="009D6BB1" w:rsidRPr="0040663E" w:rsidRDefault="009D6BB1" w:rsidP="000C77DD">
      <w:pPr>
        <w:rPr>
          <w:rFonts w:cstheme="minorHAnsi"/>
          <w:sz w:val="24"/>
          <w:szCs w:val="24"/>
        </w:rPr>
      </w:pPr>
    </w:p>
    <w:p w14:paraId="46815C93" w14:textId="77777777" w:rsidR="00CA20A5" w:rsidRPr="0040663E" w:rsidRDefault="00CA20A5" w:rsidP="00CA20A5">
      <w:pPr>
        <w:pStyle w:val="NormalWeb"/>
        <w:spacing w:after="0" w:line="276" w:lineRule="auto"/>
        <w:ind w:left="142"/>
        <w:jc w:val="both"/>
        <w:rPr>
          <w:rFonts w:asciiTheme="minorHAnsi" w:hAnsiTheme="minorHAnsi" w:cstheme="minorHAnsi"/>
          <w:b/>
          <w:bCs/>
          <w:color w:val="000000" w:themeColor="text1"/>
          <w:sz w:val="22"/>
          <w:szCs w:val="22"/>
        </w:rPr>
      </w:pPr>
      <w:r w:rsidRPr="0040663E">
        <w:rPr>
          <w:rFonts w:asciiTheme="minorHAnsi" w:hAnsiTheme="minorHAnsi" w:cstheme="minorHAnsi"/>
          <w:b/>
          <w:bCs/>
          <w:color w:val="000000" w:themeColor="text1"/>
          <w:sz w:val="22"/>
          <w:szCs w:val="22"/>
        </w:rPr>
        <w:t>Abbreviations</w:t>
      </w:r>
    </w:p>
    <w:p w14:paraId="6BC9497E" w14:textId="77777777" w:rsidR="00CA20A5" w:rsidRPr="0040663E" w:rsidRDefault="00CA20A5" w:rsidP="00CA20A5">
      <w:pPr>
        <w:pStyle w:val="NormalWeb"/>
        <w:spacing w:before="0" w:beforeAutospacing="0" w:after="0"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AG: Age</w:t>
      </w:r>
    </w:p>
    <w:p w14:paraId="24155BAA" w14:textId="77777777" w:rsidR="00CA20A5" w:rsidRPr="0040663E" w:rsidRDefault="00CA20A5" w:rsidP="00CA20A5">
      <w:pPr>
        <w:pStyle w:val="NormalWeb"/>
        <w:spacing w:beforeLines="20" w:before="48" w:beforeAutospacing="0" w:afterLines="20" w:after="48" w:afterAutospacing="0"/>
        <w:ind w:left="142"/>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APE: Apurinic/Apyrimidinic Endonuclease 1</w:t>
      </w:r>
    </w:p>
    <w:p w14:paraId="626A4A05" w14:textId="77777777" w:rsidR="00CA20A5" w:rsidRPr="0040663E" w:rsidRDefault="00CA20A5" w:rsidP="00CA20A5">
      <w:pPr>
        <w:pStyle w:val="NormalWeb"/>
        <w:spacing w:beforeLines="20" w:before="48" w:beforeAutospacing="0" w:afterLines="20" w:after="48" w:afterAutospacing="0"/>
        <w:ind w:left="142"/>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CEA: Carcinoembryonic antigen</w:t>
      </w:r>
    </w:p>
    <w:p w14:paraId="22A683AD" w14:textId="77777777" w:rsidR="00CA20A5" w:rsidRPr="0040663E" w:rsidRDefault="00CA20A5" w:rsidP="00CA20A5">
      <w:pPr>
        <w:pStyle w:val="NormalWeb"/>
        <w:spacing w:before="0" w:beforeAutospacing="0" w:after="0"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DCF: 20,70-dichlorofluorescin</w:t>
      </w:r>
    </w:p>
    <w:p w14:paraId="69163FDD"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DELE: DNA Damage-Response Element 1</w:t>
      </w:r>
    </w:p>
    <w:p w14:paraId="159CEE15"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DNMT1: DNA Methyltransferase 1</w:t>
      </w:r>
    </w:p>
    <w:p w14:paraId="40666B94"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DRP1: Dynamin-Related Protein 1</w:t>
      </w:r>
    </w:p>
    <w:p w14:paraId="3439DF56"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ELISA:  Enzyme Linked Immunosorbent Assay</w:t>
      </w:r>
    </w:p>
    <w:p w14:paraId="2B39C687"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FIS1: Mitochondrial Fission 1 Protein</w:t>
      </w:r>
    </w:p>
    <w:p w14:paraId="6281EC2D" w14:textId="77777777" w:rsidR="00CA20A5" w:rsidRPr="0040663E" w:rsidRDefault="00CA20A5" w:rsidP="00CA20A5">
      <w:pPr>
        <w:pStyle w:val="NormalWeb"/>
        <w:spacing w:before="0" w:beforeAutospacing="0" w:after="0"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FPG: Formamidopyrimidine glycosylase</w:t>
      </w:r>
    </w:p>
    <w:p w14:paraId="2D4E70F6"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 xml:space="preserve">G-CSF: </w:t>
      </w:r>
      <w:r w:rsidRPr="0040663E">
        <w:rPr>
          <w:rFonts w:asciiTheme="minorHAnsi" w:hAnsiTheme="minorHAnsi" w:cstheme="minorHAnsi"/>
          <w:color w:val="000000" w:themeColor="text1"/>
          <w:sz w:val="22"/>
          <w:szCs w:val="22"/>
          <w:lang w:val="en-US"/>
        </w:rPr>
        <w:t>Granulocyte-Colony Stimulating Factor</w:t>
      </w:r>
    </w:p>
    <w:p w14:paraId="35505573"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HRI: Heme-Regulated Inhibitor</w:t>
      </w:r>
    </w:p>
    <w:p w14:paraId="65EAEC93" w14:textId="77777777" w:rsidR="00CA20A5" w:rsidRPr="0040663E" w:rsidRDefault="00CA20A5" w:rsidP="00CA20A5">
      <w:pPr>
        <w:pStyle w:val="NormalWeb"/>
        <w:spacing w:before="0" w:beforeAutospacing="0" w:after="0"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IFN-γ: Interferon‐Gamma</w:t>
      </w:r>
    </w:p>
    <w:p w14:paraId="0082AE67" w14:textId="77777777" w:rsidR="00CA20A5" w:rsidRPr="0040663E" w:rsidRDefault="00CA20A5" w:rsidP="00CA20A5">
      <w:pPr>
        <w:pStyle w:val="NormalWeb"/>
        <w:spacing w:before="0" w:beforeAutospacing="0" w:after="0"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lastRenderedPageBreak/>
        <w:t>IL: Interleukin</w:t>
      </w:r>
    </w:p>
    <w:p w14:paraId="30696795"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lang w:val="en-US"/>
        </w:rPr>
      </w:pPr>
      <w:r w:rsidRPr="0040663E">
        <w:rPr>
          <w:rFonts w:asciiTheme="minorHAnsi" w:hAnsiTheme="minorHAnsi" w:cstheme="minorHAnsi"/>
          <w:color w:val="000000" w:themeColor="text1"/>
          <w:sz w:val="22"/>
          <w:szCs w:val="22"/>
          <w:lang w:val="en-US"/>
        </w:rPr>
        <w:t>KNN: K-Nearest Neighbors</w:t>
      </w:r>
    </w:p>
    <w:p w14:paraId="56B78184"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lang w:val="en-US"/>
        </w:rPr>
      </w:pPr>
      <w:r w:rsidRPr="0040663E">
        <w:rPr>
          <w:rFonts w:asciiTheme="minorHAnsi" w:hAnsiTheme="minorHAnsi" w:cstheme="minorHAnsi"/>
          <w:color w:val="000000" w:themeColor="text1"/>
          <w:sz w:val="22"/>
          <w:szCs w:val="22"/>
        </w:rPr>
        <w:t>lncRNAs: long non-coding RNAs</w:t>
      </w:r>
    </w:p>
    <w:p w14:paraId="58F087BF"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m6A: N6-methyladenosine</w:t>
      </w:r>
    </w:p>
    <w:p w14:paraId="1E948401"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MFF: Mitochondrial Fission Factor</w:t>
      </w:r>
    </w:p>
    <w:p w14:paraId="4298D721"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MFN1: Mitofusin 1</w:t>
      </w:r>
    </w:p>
    <w:p w14:paraId="7C81F2BD"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MFN2: Mitofusin 2</w:t>
      </w:r>
    </w:p>
    <w:p w14:paraId="204A3020"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NF-κB: Nuclear Factor kappa B</w:t>
      </w:r>
    </w:p>
    <w:p w14:paraId="59251204"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OGG: 8-Oxoguanine DNA Glycosylase</w:t>
      </w:r>
    </w:p>
    <w:p w14:paraId="7E310DD9"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OMA1: Zinc Metallopeptidase</w:t>
      </w:r>
    </w:p>
    <w:p w14:paraId="3AED3B56"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OPA1: Optic Atrophy 1</w:t>
      </w:r>
    </w:p>
    <w:p w14:paraId="3A0A35AC"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PINK1: PTEN-Induced Putative Kinase 1</w:t>
      </w:r>
    </w:p>
    <w:p w14:paraId="34B9E2C0" w14:textId="77777777" w:rsidR="00CA20A5" w:rsidRPr="0040663E" w:rsidRDefault="00CA20A5" w:rsidP="00CA20A5">
      <w:pPr>
        <w:pStyle w:val="NormalWeb"/>
        <w:spacing w:before="0" w:beforeAutospacing="0" w:after="0"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PM: Particulate matter</w:t>
      </w:r>
    </w:p>
    <w:p w14:paraId="5A3C9C5E"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POLG: DNA Polymerase Subunit gamma</w:t>
      </w:r>
    </w:p>
    <w:p w14:paraId="624799F6"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lang w:val="en-US"/>
        </w:rPr>
      </w:pPr>
      <w:r w:rsidRPr="0040663E">
        <w:rPr>
          <w:rFonts w:asciiTheme="minorHAnsi" w:hAnsiTheme="minorHAnsi" w:cstheme="minorHAnsi"/>
          <w:color w:val="000000" w:themeColor="text1"/>
          <w:sz w:val="22"/>
          <w:szCs w:val="22"/>
          <w:lang w:val="en-US"/>
        </w:rPr>
        <w:t>ROC: Receiver Operating Characteristic</w:t>
      </w:r>
    </w:p>
    <w:p w14:paraId="6FEA6E12" w14:textId="77777777" w:rsidR="00CA20A5" w:rsidRPr="0040663E" w:rsidRDefault="00CA20A5" w:rsidP="00CA20A5">
      <w:pPr>
        <w:pStyle w:val="NormalWeb"/>
        <w:spacing w:before="0" w:beforeAutospacing="0" w:after="0"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ROS: Reactive oxygen species</w:t>
      </w:r>
    </w:p>
    <w:p w14:paraId="0F8DA479"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lang w:val="en-US"/>
        </w:rPr>
      </w:pPr>
      <w:r w:rsidRPr="0040663E">
        <w:rPr>
          <w:rFonts w:asciiTheme="minorHAnsi" w:hAnsiTheme="minorHAnsi" w:cstheme="minorHAnsi"/>
          <w:color w:val="000000" w:themeColor="text1"/>
          <w:sz w:val="22"/>
          <w:szCs w:val="22"/>
          <w:lang w:val="en-US"/>
        </w:rPr>
        <w:t>SVM: Support Vector Machine</w:t>
      </w:r>
    </w:p>
    <w:p w14:paraId="47EB7A37" w14:textId="77777777" w:rsidR="00CA20A5" w:rsidRPr="0040663E" w:rsidRDefault="00CA20A5" w:rsidP="00CA20A5">
      <w:pPr>
        <w:pStyle w:val="NormalWeb"/>
        <w:spacing w:before="0" w:beforeAutospacing="0" w:after="0"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TE: Total exposure</w:t>
      </w:r>
    </w:p>
    <w:p w14:paraId="2FBC7C07"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TERT: Telomerase Reverse Transcriptase</w:t>
      </w:r>
    </w:p>
    <w:p w14:paraId="6CEEEF88" w14:textId="77777777" w:rsidR="00CA20A5" w:rsidRPr="0040663E" w:rsidRDefault="00CA20A5" w:rsidP="00CA20A5">
      <w:pPr>
        <w:pStyle w:val="NormalWeb"/>
        <w:spacing w:beforeLines="20" w:before="48" w:beforeAutospacing="0" w:afterLines="20" w:after="48"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TMB: 3,3′,5,5′-tetramethylbenzidine</w:t>
      </w:r>
    </w:p>
    <w:p w14:paraId="25683031" w14:textId="77777777" w:rsidR="00CA20A5" w:rsidRPr="0040663E" w:rsidRDefault="00CA20A5" w:rsidP="00CA20A5">
      <w:pPr>
        <w:pStyle w:val="NormalWeb"/>
        <w:spacing w:before="0" w:beforeAutospacing="0" w:after="0" w:afterAutospacing="0"/>
        <w:ind w:left="142"/>
        <w:jc w:val="both"/>
        <w:rPr>
          <w:rFonts w:asciiTheme="minorHAnsi" w:hAnsiTheme="minorHAnsi" w:cstheme="minorHAnsi"/>
          <w:color w:val="000000" w:themeColor="text1"/>
          <w:sz w:val="22"/>
          <w:szCs w:val="22"/>
        </w:rPr>
      </w:pPr>
      <w:r w:rsidRPr="0040663E">
        <w:rPr>
          <w:rFonts w:asciiTheme="minorHAnsi" w:hAnsiTheme="minorHAnsi" w:cstheme="minorHAnsi"/>
          <w:color w:val="000000" w:themeColor="text1"/>
          <w:sz w:val="22"/>
          <w:szCs w:val="22"/>
        </w:rPr>
        <w:t>TNF-α: Mitochondrial Transcription Factor A</w:t>
      </w:r>
    </w:p>
    <w:p w14:paraId="290D7DFA" w14:textId="77777777" w:rsidR="00CA20A5" w:rsidRPr="0040663E" w:rsidRDefault="00CA20A5" w:rsidP="00CA20A5">
      <w:pPr>
        <w:pStyle w:val="NormalWeb"/>
        <w:spacing w:after="0" w:line="276" w:lineRule="auto"/>
        <w:ind w:left="142"/>
        <w:jc w:val="both"/>
        <w:rPr>
          <w:rFonts w:asciiTheme="minorHAnsi" w:hAnsiTheme="minorHAnsi" w:cstheme="minorHAnsi"/>
          <w:b/>
          <w:bCs/>
          <w:color w:val="000000" w:themeColor="text1"/>
          <w:sz w:val="22"/>
          <w:szCs w:val="22"/>
        </w:rPr>
      </w:pPr>
      <w:r w:rsidRPr="0040663E">
        <w:rPr>
          <w:rFonts w:asciiTheme="minorHAnsi" w:hAnsiTheme="minorHAnsi" w:cstheme="minorHAnsi"/>
          <w:b/>
          <w:bCs/>
          <w:color w:val="000000" w:themeColor="text1"/>
          <w:sz w:val="22"/>
          <w:szCs w:val="22"/>
        </w:rPr>
        <w:t>References</w:t>
      </w:r>
    </w:p>
    <w:p w14:paraId="05A69FD0" w14:textId="77777777" w:rsidR="00CA20A5" w:rsidRPr="0040663E" w:rsidRDefault="00CA20A5" w:rsidP="00CA20A5">
      <w:pPr>
        <w:pStyle w:val="ListParagraph"/>
        <w:numPr>
          <w:ilvl w:val="0"/>
          <w:numId w:val="1"/>
        </w:numPr>
        <w:ind w:left="644"/>
        <w:jc w:val="both"/>
        <w:rPr>
          <w:rFonts w:cstheme="minorHAnsi"/>
          <w:color w:val="000000" w:themeColor="text1"/>
          <w:szCs w:val="22"/>
        </w:rPr>
      </w:pPr>
      <w:r w:rsidRPr="0040663E">
        <w:rPr>
          <w:rFonts w:cstheme="minorHAnsi"/>
          <w:color w:val="000000" w:themeColor="text1"/>
          <w:szCs w:val="22"/>
        </w:rPr>
        <w:t xml:space="preserve">White AJ, Teitelbaum SL, Stellman SD, Beyea J, Steck SE, Mordukhovich I, et al. Indoor air pollution exposure from use of indoor stoves and fireplaces in association with breast cancer: a case-control study. Environ Health.[Internet]. 2014 Dec 1;13(1). Available from: </w:t>
      </w:r>
      <w:hyperlink r:id="rId13" w:history="1">
        <w:r w:rsidRPr="0040663E">
          <w:rPr>
            <w:rStyle w:val="Hyperlink"/>
            <w:rFonts w:cstheme="minorHAnsi"/>
            <w:color w:val="000000" w:themeColor="text1"/>
            <w:szCs w:val="22"/>
          </w:rPr>
          <w:t>https://doi.org/10.1186/1476-069x-13-108</w:t>
        </w:r>
      </w:hyperlink>
    </w:p>
    <w:p w14:paraId="644DA6AF" w14:textId="77777777" w:rsidR="00CA20A5" w:rsidRPr="0040663E" w:rsidRDefault="00CA20A5" w:rsidP="00CA20A5">
      <w:pPr>
        <w:pStyle w:val="ListParagraph"/>
        <w:numPr>
          <w:ilvl w:val="0"/>
          <w:numId w:val="1"/>
        </w:numPr>
        <w:ind w:left="644"/>
        <w:jc w:val="both"/>
        <w:rPr>
          <w:rFonts w:cstheme="minorHAnsi"/>
          <w:color w:val="000000" w:themeColor="text1"/>
          <w:szCs w:val="22"/>
        </w:rPr>
      </w:pPr>
      <w:r w:rsidRPr="0040663E">
        <w:rPr>
          <w:rFonts w:cstheme="minorHAnsi"/>
          <w:color w:val="000000" w:themeColor="text1"/>
          <w:szCs w:val="22"/>
        </w:rPr>
        <w:t>Bhargava A, Kumari R, Khare S, Shandilya R, Gupta PK, Tiwari R, et al. Mapping the mitochondrial regulation of epigenetic modifications in association with carcinogenic and noncarcinogenic polycyclic aromatic hydrocarbon exposure.Int. J. Toxicol. [Internet]. 2020 Jun 26;39(5):465–76. Available from: </w:t>
      </w:r>
      <w:hyperlink r:id="rId14" w:history="1">
        <w:r w:rsidRPr="0040663E">
          <w:rPr>
            <w:rStyle w:val="Hyperlink"/>
            <w:rFonts w:cstheme="minorHAnsi"/>
            <w:color w:val="000000" w:themeColor="text1"/>
            <w:szCs w:val="22"/>
          </w:rPr>
          <w:t>https://doi.org/10.1177/1091581820932875</w:t>
        </w:r>
      </w:hyperlink>
    </w:p>
    <w:p w14:paraId="1200634A" w14:textId="77777777" w:rsidR="00CA20A5" w:rsidRPr="0040663E" w:rsidRDefault="00CA20A5" w:rsidP="00CA20A5">
      <w:pPr>
        <w:pStyle w:val="ListParagraph"/>
        <w:numPr>
          <w:ilvl w:val="0"/>
          <w:numId w:val="1"/>
        </w:numPr>
        <w:spacing w:line="278" w:lineRule="auto"/>
        <w:ind w:left="644"/>
        <w:jc w:val="both"/>
        <w:rPr>
          <w:color w:val="000000" w:themeColor="text1"/>
          <w:szCs w:val="21"/>
        </w:rPr>
      </w:pPr>
      <w:r w:rsidRPr="0040663E">
        <w:rPr>
          <w:rFonts w:cstheme="minorHAnsi"/>
          <w:color w:val="000000" w:themeColor="text1"/>
          <w:szCs w:val="22"/>
        </w:rPr>
        <w:t>Mishra PK, Bhargava A, Kumari R, Bunkar N, Chauhan P, Mukherjee S, et al. Integrated mitoepigenetic signalling mechanisms associated with airborne particulate matter exposure: A cross-sectional pilot study. Atmos. Pollut. Res [Internet]. 2022 Mar 25;13(5):101399. Available from: </w:t>
      </w:r>
      <w:hyperlink r:id="rId15" w:history="1">
        <w:r w:rsidRPr="0040663E">
          <w:rPr>
            <w:rStyle w:val="Hyperlink"/>
            <w:rFonts w:cstheme="minorHAnsi"/>
            <w:color w:val="000000" w:themeColor="text1"/>
            <w:szCs w:val="22"/>
          </w:rPr>
          <w:t>https://doi.org/10.1016/j.apr.2022.101399</w:t>
        </w:r>
      </w:hyperlink>
    </w:p>
    <w:p w14:paraId="33EDCDF3" w14:textId="77777777" w:rsidR="00CA20A5" w:rsidRPr="0040663E" w:rsidRDefault="00CA20A5" w:rsidP="00CA20A5">
      <w:pPr>
        <w:pStyle w:val="ListParagraph"/>
        <w:numPr>
          <w:ilvl w:val="0"/>
          <w:numId w:val="1"/>
        </w:numPr>
        <w:spacing w:line="278" w:lineRule="auto"/>
        <w:ind w:left="644"/>
        <w:rPr>
          <w:color w:val="000000" w:themeColor="text1"/>
          <w:szCs w:val="21"/>
        </w:rPr>
      </w:pPr>
      <w:r w:rsidRPr="0040663E">
        <w:rPr>
          <w:rFonts w:cstheme="minorHAnsi"/>
          <w:color w:val="000000" w:themeColor="text1"/>
          <w:szCs w:val="22"/>
        </w:rPr>
        <w:t xml:space="preserve">Bunkar N, Sharma J, Chouksey A, Kumari R, Gupta PK, Tiwari R, et al. Clostridium perfringens phospholipase C impairs innate immune response by inducing integrated stress response and mitochondrial-induced epigenetic modifications. Cell. Signal [Internet]. 2020 Sep 8;75:109776. Available from: </w:t>
      </w:r>
      <w:hyperlink r:id="rId16" w:history="1">
        <w:r w:rsidRPr="0040663E">
          <w:rPr>
            <w:rStyle w:val="Hyperlink"/>
            <w:rFonts w:cstheme="minorHAnsi"/>
            <w:color w:val="000000" w:themeColor="text1"/>
            <w:szCs w:val="22"/>
          </w:rPr>
          <w:t>https://doi.org/10.1016/j.cellsig.2020.109776</w:t>
        </w:r>
      </w:hyperlink>
    </w:p>
    <w:p w14:paraId="4502A25E" w14:textId="77777777" w:rsidR="00CA20A5" w:rsidRPr="0040663E" w:rsidRDefault="00CA20A5" w:rsidP="00CA20A5">
      <w:pPr>
        <w:pStyle w:val="ListParagraph"/>
        <w:numPr>
          <w:ilvl w:val="0"/>
          <w:numId w:val="1"/>
        </w:numPr>
        <w:spacing w:line="278" w:lineRule="auto"/>
        <w:ind w:left="644"/>
        <w:rPr>
          <w:color w:val="000000" w:themeColor="text1"/>
          <w:szCs w:val="21"/>
        </w:rPr>
      </w:pPr>
      <w:r w:rsidRPr="0040663E">
        <w:rPr>
          <w:rFonts w:cstheme="minorHAnsi"/>
          <w:color w:val="000000" w:themeColor="text1"/>
          <w:szCs w:val="22"/>
        </w:rPr>
        <w:t>Shandilya R, Sobolev AM, Bunkar N, Bhargava A, Goryacheva IY, Mishra PK. Quantum dot nanoconjugates for immuno-detection of circulating cell-free miRNAs. Talanta [Internet]. 2019 Oct 22;208:120486. Available from: </w:t>
      </w:r>
      <w:hyperlink r:id="rId17" w:history="1">
        <w:r w:rsidRPr="0040663E">
          <w:rPr>
            <w:rStyle w:val="Hyperlink"/>
            <w:rFonts w:cstheme="minorHAnsi"/>
            <w:color w:val="000000" w:themeColor="text1"/>
            <w:szCs w:val="22"/>
          </w:rPr>
          <w:t>https://doi.org/10.1016/j.talanta.2019.120486</w:t>
        </w:r>
      </w:hyperlink>
    </w:p>
    <w:p w14:paraId="111BC7BE" w14:textId="77777777" w:rsidR="00CA20A5" w:rsidRPr="0040663E" w:rsidRDefault="00CA20A5" w:rsidP="00CA20A5">
      <w:pPr>
        <w:pStyle w:val="ListParagraph"/>
        <w:numPr>
          <w:ilvl w:val="0"/>
          <w:numId w:val="1"/>
        </w:numPr>
        <w:ind w:left="644"/>
        <w:jc w:val="both"/>
        <w:rPr>
          <w:rFonts w:cstheme="minorHAnsi"/>
          <w:color w:val="000000" w:themeColor="text1"/>
          <w:szCs w:val="22"/>
        </w:rPr>
      </w:pPr>
      <w:r w:rsidRPr="0040663E">
        <w:rPr>
          <w:rFonts w:cstheme="minorHAnsi"/>
          <w:color w:val="000000" w:themeColor="text1"/>
          <w:szCs w:val="22"/>
        </w:rPr>
        <w:t xml:space="preserve">Mishra PK, Bunkar N, Singh RD, Kumar R, Gupta PK, Tiwari R, et al. Comparative profiling of epigenetic modifications among individuals living in different high and low air pollution zones: </w:t>
      </w:r>
      <w:r w:rsidRPr="0040663E">
        <w:rPr>
          <w:rFonts w:cstheme="minorHAnsi"/>
          <w:color w:val="000000" w:themeColor="text1"/>
          <w:szCs w:val="22"/>
        </w:rPr>
        <w:lastRenderedPageBreak/>
        <w:t>A pilot study from India. Environ. Adv [Internet]. 2021 Apr 14;4:100052. Available from: </w:t>
      </w:r>
      <w:hyperlink r:id="rId18" w:history="1">
        <w:r w:rsidRPr="0040663E">
          <w:rPr>
            <w:rStyle w:val="Hyperlink"/>
            <w:rFonts w:cstheme="minorHAnsi"/>
            <w:color w:val="000000" w:themeColor="text1"/>
            <w:szCs w:val="22"/>
          </w:rPr>
          <w:t>https://doi.org/10.1016/j.envadv.2021.100052</w:t>
        </w:r>
      </w:hyperlink>
    </w:p>
    <w:p w14:paraId="71CA8476" w14:textId="77777777" w:rsidR="00CA20A5" w:rsidRPr="0040663E" w:rsidRDefault="00CA20A5" w:rsidP="00CA20A5">
      <w:pPr>
        <w:pStyle w:val="ListParagraph"/>
        <w:numPr>
          <w:ilvl w:val="0"/>
          <w:numId w:val="1"/>
        </w:numPr>
        <w:ind w:left="644"/>
        <w:jc w:val="both"/>
        <w:rPr>
          <w:rFonts w:cstheme="minorHAnsi"/>
          <w:color w:val="000000" w:themeColor="text1"/>
          <w:szCs w:val="22"/>
        </w:rPr>
      </w:pPr>
      <w:r w:rsidRPr="0040663E">
        <w:rPr>
          <w:rFonts w:cstheme="minorHAnsi"/>
          <w:color w:val="000000" w:themeColor="text1"/>
          <w:szCs w:val="22"/>
        </w:rPr>
        <w:t>Shandilya R, Bhargava A, Ratre P, Kumari R, Tiwari R, Chauhan P, et al. Graphene Quantum-Dot-Based Nanophotonic approach for targeted detection of long noncoding RNAs in circulation. ACS Omega [Internet]. 2022 Jul 22;7(30):26601–9. Available from: </w:t>
      </w:r>
      <w:hyperlink r:id="rId19" w:history="1">
        <w:r w:rsidRPr="0040663E">
          <w:rPr>
            <w:rStyle w:val="Hyperlink"/>
            <w:rFonts w:cstheme="minorHAnsi"/>
            <w:color w:val="000000" w:themeColor="text1"/>
            <w:szCs w:val="22"/>
          </w:rPr>
          <w:t>https://doi.org/10.1021/acsomega.2c02802</w:t>
        </w:r>
      </w:hyperlink>
    </w:p>
    <w:p w14:paraId="014884CD" w14:textId="77777777" w:rsidR="00CA20A5" w:rsidRPr="0040663E" w:rsidRDefault="00CA20A5" w:rsidP="00CA20A5">
      <w:pPr>
        <w:pStyle w:val="ListParagraph"/>
        <w:numPr>
          <w:ilvl w:val="0"/>
          <w:numId w:val="1"/>
        </w:numPr>
        <w:ind w:left="644"/>
        <w:jc w:val="both"/>
        <w:rPr>
          <w:rFonts w:cstheme="minorHAnsi"/>
          <w:color w:val="000000" w:themeColor="text1"/>
          <w:szCs w:val="22"/>
        </w:rPr>
      </w:pPr>
      <w:r w:rsidRPr="0040663E">
        <w:rPr>
          <w:rFonts w:cstheme="minorHAnsi"/>
          <w:color w:val="000000" w:themeColor="text1"/>
          <w:szCs w:val="22"/>
        </w:rPr>
        <w:t>Mishra PK, Kumari R, Bhargava A, Bunkar N, Chauhan P, Tiwari R, et al. Prenatal exposure to environmental pro-oxidants induces mitochondria-mediated epigenetic changes: a cross-sectional pilot study. ESPR [Internet]. 2022 May 28;29(49):74133–49. Available from: </w:t>
      </w:r>
      <w:hyperlink r:id="rId20" w:history="1">
        <w:r w:rsidRPr="0040663E">
          <w:rPr>
            <w:rStyle w:val="Hyperlink"/>
            <w:rFonts w:cstheme="minorHAnsi"/>
            <w:color w:val="000000" w:themeColor="text1"/>
            <w:szCs w:val="22"/>
          </w:rPr>
          <w:t>https://doi.org/10.1007/s11356-022-21059-3</w:t>
        </w:r>
      </w:hyperlink>
    </w:p>
    <w:p w14:paraId="561B6F88" w14:textId="77777777" w:rsidR="00CA20A5" w:rsidRPr="0040663E" w:rsidRDefault="00CA20A5" w:rsidP="00CA20A5">
      <w:pPr>
        <w:pStyle w:val="ListParagraph"/>
        <w:numPr>
          <w:ilvl w:val="0"/>
          <w:numId w:val="1"/>
        </w:numPr>
        <w:spacing w:line="278" w:lineRule="auto"/>
        <w:ind w:left="644"/>
        <w:jc w:val="both"/>
        <w:rPr>
          <w:color w:val="000000" w:themeColor="text1"/>
        </w:rPr>
      </w:pPr>
      <w:r w:rsidRPr="0040663E">
        <w:rPr>
          <w:rFonts w:cstheme="minorHAnsi"/>
          <w:color w:val="000000" w:themeColor="text1"/>
          <w:szCs w:val="22"/>
        </w:rPr>
        <w:t>Zins K, Peka E, Miedl H, Ecker S, Abraham D, Schreiber M. Association of the Telomerase Reverse Transcriptase rs10069690 Polymorphism with the Risk, Age at Onset and Prognosis of Triple Negative Breast Cancer.Int. J. Mol. Sci. [Internet]. 2023 Jan 17;24(3):1825. Available from: </w:t>
      </w:r>
      <w:hyperlink r:id="rId21" w:history="1">
        <w:r w:rsidRPr="0040663E">
          <w:rPr>
            <w:rStyle w:val="Hyperlink"/>
            <w:rFonts w:cstheme="minorHAnsi"/>
            <w:color w:val="000000" w:themeColor="text1"/>
            <w:szCs w:val="22"/>
          </w:rPr>
          <w:t>https://doi.org/10.3390/ijms24031825</w:t>
        </w:r>
      </w:hyperlink>
    </w:p>
    <w:p w14:paraId="7592A40C" w14:textId="77777777" w:rsidR="00CA20A5" w:rsidRPr="0040663E" w:rsidRDefault="00CA20A5" w:rsidP="00CA20A5">
      <w:pPr>
        <w:pStyle w:val="ListParagraph"/>
        <w:numPr>
          <w:ilvl w:val="0"/>
          <w:numId w:val="1"/>
        </w:numPr>
        <w:spacing w:line="278" w:lineRule="auto"/>
        <w:ind w:left="644"/>
        <w:jc w:val="both"/>
        <w:rPr>
          <w:color w:val="000000" w:themeColor="text1"/>
        </w:rPr>
      </w:pPr>
      <w:r w:rsidRPr="0040663E">
        <w:rPr>
          <w:color w:val="000000" w:themeColor="text1"/>
        </w:rPr>
        <w:t>Soni N, Kaur P, Gurjar V, Bhargava A, Tiwari R, Chouksey A, et al. Unveiling the interconnected dynamics of mitochondrial Dysfunction associated with Age-Related Cardiovascular Risk: a Cross-Sectional Pilot study. Cureus [Internet]. 2025 Apr 25; Available from: </w:t>
      </w:r>
      <w:hyperlink r:id="rId22" w:history="1">
        <w:r w:rsidRPr="0040663E">
          <w:rPr>
            <w:rStyle w:val="Hyperlink"/>
            <w:color w:val="000000" w:themeColor="text1"/>
          </w:rPr>
          <w:t>https://doi.org/10.7759/cureus.82961</w:t>
        </w:r>
      </w:hyperlink>
    </w:p>
    <w:p w14:paraId="15AC5E64" w14:textId="77777777" w:rsidR="00CA20A5" w:rsidRPr="0040663E" w:rsidRDefault="00CA20A5" w:rsidP="00CA20A5">
      <w:pPr>
        <w:pStyle w:val="ListParagraph"/>
        <w:numPr>
          <w:ilvl w:val="0"/>
          <w:numId w:val="1"/>
        </w:numPr>
        <w:spacing w:line="278" w:lineRule="auto"/>
        <w:ind w:left="644"/>
        <w:jc w:val="both"/>
        <w:rPr>
          <w:color w:val="000000" w:themeColor="text1"/>
        </w:rPr>
      </w:pPr>
      <w:r w:rsidRPr="0040663E">
        <w:rPr>
          <w:color w:val="000000" w:themeColor="text1"/>
        </w:rPr>
        <w:t>Gurjar V, Nazeer N, Bhargava A, Soni N, Kaur P, Tiwari R, et al. Deep learning-enabled nanophotonic test leveraging poly-L lysine-tethered carbon quantum dots to assess the risk of cardiovascular disease. Microchem J [Internet]. 2024 Nov 15;207:112164. Available from: </w:t>
      </w:r>
      <w:hyperlink r:id="rId23" w:history="1">
        <w:r w:rsidRPr="0040663E">
          <w:rPr>
            <w:rStyle w:val="Hyperlink"/>
            <w:color w:val="000000" w:themeColor="text1"/>
          </w:rPr>
          <w:t>https://doi.org/10.1016/j.microc.2024.112164</w:t>
        </w:r>
      </w:hyperlink>
    </w:p>
    <w:p w14:paraId="10ADE9E3" w14:textId="77777777" w:rsidR="00CA20A5" w:rsidRPr="0040663E" w:rsidRDefault="00CA20A5" w:rsidP="00CA20A5">
      <w:pPr>
        <w:pStyle w:val="ListParagraph"/>
        <w:numPr>
          <w:ilvl w:val="0"/>
          <w:numId w:val="1"/>
        </w:numPr>
        <w:spacing w:line="278" w:lineRule="auto"/>
        <w:ind w:left="644"/>
        <w:jc w:val="both"/>
        <w:rPr>
          <w:color w:val="000000" w:themeColor="text1"/>
        </w:rPr>
      </w:pPr>
      <w:r w:rsidRPr="0040663E">
        <w:rPr>
          <w:color w:val="000000" w:themeColor="text1"/>
        </w:rPr>
        <w:t>Nazeer N, Gurjar V, Ratre P, Dewangan R, Zaidi K, Tiwari R, et al. Cardiovascular disease risk assessment through sensing the circulating microbiome with perovskite quantum dots leveraging deep learning models for bacterial species selection. Mikrochim. Acta [Internet]. 2024 Apr 10;191(5). Available from: </w:t>
      </w:r>
      <w:hyperlink r:id="rId24" w:history="1">
        <w:r w:rsidRPr="0040663E">
          <w:rPr>
            <w:rStyle w:val="Hyperlink"/>
            <w:color w:val="000000" w:themeColor="text1"/>
          </w:rPr>
          <w:t>https://doi.org/10.1007/s00604-024-06343-y</w:t>
        </w:r>
      </w:hyperlink>
    </w:p>
    <w:p w14:paraId="2143F100" w14:textId="77777777" w:rsidR="00CA20A5" w:rsidRPr="008F3EA1" w:rsidRDefault="00CA20A5" w:rsidP="000C77DD">
      <w:pPr>
        <w:rPr>
          <w:rFonts w:cstheme="minorHAnsi"/>
          <w:sz w:val="24"/>
          <w:szCs w:val="24"/>
        </w:rPr>
      </w:pPr>
      <w:bookmarkStart w:id="1" w:name="_GoBack"/>
      <w:bookmarkEnd w:id="1"/>
    </w:p>
    <w:sectPr w:rsidR="00CA20A5" w:rsidRPr="008F3EA1" w:rsidSect="000C77DD">
      <w:head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11813" w14:textId="77777777" w:rsidR="00CD69D4" w:rsidRDefault="00CD69D4">
      <w:pPr>
        <w:spacing w:after="0" w:line="240" w:lineRule="auto"/>
      </w:pPr>
      <w:r>
        <w:separator/>
      </w:r>
    </w:p>
  </w:endnote>
  <w:endnote w:type="continuationSeparator" w:id="0">
    <w:p w14:paraId="444E1652" w14:textId="77777777" w:rsidR="00CD69D4" w:rsidRDefault="00CD6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FFMM O+ STIX Math Calligraphy">
    <w:altName w:val="Yu Gothic"/>
    <w:panose1 w:val="00000000000000000000"/>
    <w:charset w:val="80"/>
    <w:family w:val="swiss"/>
    <w:notTrueType/>
    <w:pitch w:val="default"/>
    <w:sig w:usb0="00000001" w:usb1="08070000" w:usb2="00000010" w:usb3="00000000" w:csb0="00020000" w:csb1="00000000"/>
  </w:font>
  <w:font w:name="CFFPC E+ STIX Math Calligraphy">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F3D25" w14:textId="77777777" w:rsidR="00CD69D4" w:rsidRDefault="00CD69D4">
      <w:pPr>
        <w:spacing w:after="0" w:line="240" w:lineRule="auto"/>
      </w:pPr>
      <w:r>
        <w:separator/>
      </w:r>
    </w:p>
  </w:footnote>
  <w:footnote w:type="continuationSeparator" w:id="0">
    <w:p w14:paraId="059C0E99" w14:textId="77777777" w:rsidR="00CD69D4" w:rsidRDefault="00CD69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E724E" w14:textId="5AD92E96" w:rsidR="00175E65" w:rsidRDefault="000072DF">
    <w:pPr>
      <w:pStyle w:val="Header"/>
      <w:jc w:val="right"/>
    </w:pPr>
    <w:r>
      <w:fldChar w:fldCharType="begin"/>
    </w:r>
    <w:r>
      <w:instrText xml:space="preserve"> PAGE   \* MERGEFORMAT </w:instrText>
    </w:r>
    <w:r>
      <w:fldChar w:fldCharType="separate"/>
    </w:r>
    <w:r w:rsidR="0040663E">
      <w:rPr>
        <w:noProof/>
      </w:rPr>
      <w:t>14</w:t>
    </w:r>
    <w:r>
      <w:rPr>
        <w:noProof/>
      </w:rPr>
      <w:fldChar w:fldCharType="end"/>
    </w:r>
  </w:p>
  <w:p w14:paraId="1F53C9B1" w14:textId="77777777" w:rsidR="00175E65" w:rsidRDefault="00175E6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0412EF"/>
    <w:multiLevelType w:val="hybridMultilevel"/>
    <w:tmpl w:val="DD48BDDC"/>
    <w:lvl w:ilvl="0" w:tplc="C20A87A2">
      <w:start w:val="1"/>
      <w:numFmt w:val="lowerLetter"/>
      <w:lvlText w:val="%1)"/>
      <w:lvlJc w:val="left"/>
      <w:pPr>
        <w:ind w:left="502" w:hanging="36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1" w15:restartNumberingAfterBreak="0">
    <w:nsid w:val="392D25C6"/>
    <w:multiLevelType w:val="multilevel"/>
    <w:tmpl w:val="377AB852"/>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2A6D49"/>
    <w:multiLevelType w:val="multilevel"/>
    <w:tmpl w:val="BBEA9B0C"/>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62C82"/>
    <w:rsid w:val="000072DF"/>
    <w:rsid w:val="00054E9B"/>
    <w:rsid w:val="0006179C"/>
    <w:rsid w:val="00070C3A"/>
    <w:rsid w:val="0007265C"/>
    <w:rsid w:val="000C77DD"/>
    <w:rsid w:val="000D4C80"/>
    <w:rsid w:val="001410BA"/>
    <w:rsid w:val="0016647D"/>
    <w:rsid w:val="00175E65"/>
    <w:rsid w:val="0019487A"/>
    <w:rsid w:val="00197E95"/>
    <w:rsid w:val="001A3751"/>
    <w:rsid w:val="001B1CFE"/>
    <w:rsid w:val="00206124"/>
    <w:rsid w:val="002148CC"/>
    <w:rsid w:val="002C432A"/>
    <w:rsid w:val="002C7B32"/>
    <w:rsid w:val="002E0727"/>
    <w:rsid w:val="002E31F5"/>
    <w:rsid w:val="002F7959"/>
    <w:rsid w:val="00360214"/>
    <w:rsid w:val="00385C53"/>
    <w:rsid w:val="003A309C"/>
    <w:rsid w:val="003F55A4"/>
    <w:rsid w:val="0040663E"/>
    <w:rsid w:val="004318ED"/>
    <w:rsid w:val="00441533"/>
    <w:rsid w:val="00502B0D"/>
    <w:rsid w:val="00512D86"/>
    <w:rsid w:val="005224DF"/>
    <w:rsid w:val="00531D15"/>
    <w:rsid w:val="00540629"/>
    <w:rsid w:val="005531C4"/>
    <w:rsid w:val="005D0B8F"/>
    <w:rsid w:val="005D5C44"/>
    <w:rsid w:val="006003A2"/>
    <w:rsid w:val="0060788C"/>
    <w:rsid w:val="006157B4"/>
    <w:rsid w:val="00630FFD"/>
    <w:rsid w:val="006B07D0"/>
    <w:rsid w:val="0077520F"/>
    <w:rsid w:val="00835A7A"/>
    <w:rsid w:val="00852B50"/>
    <w:rsid w:val="00896518"/>
    <w:rsid w:val="008C4313"/>
    <w:rsid w:val="008C72A6"/>
    <w:rsid w:val="008E23AE"/>
    <w:rsid w:val="008F23EE"/>
    <w:rsid w:val="008F3EA1"/>
    <w:rsid w:val="0091016B"/>
    <w:rsid w:val="00925BCB"/>
    <w:rsid w:val="009D6BB1"/>
    <w:rsid w:val="009E4170"/>
    <w:rsid w:val="00A30704"/>
    <w:rsid w:val="00A43537"/>
    <w:rsid w:val="00A46B9B"/>
    <w:rsid w:val="00AB6EA6"/>
    <w:rsid w:val="00AF1EB8"/>
    <w:rsid w:val="00B057FF"/>
    <w:rsid w:val="00B4535A"/>
    <w:rsid w:val="00B60AF2"/>
    <w:rsid w:val="00BC0638"/>
    <w:rsid w:val="00BC0AEF"/>
    <w:rsid w:val="00BD312A"/>
    <w:rsid w:val="00BE2499"/>
    <w:rsid w:val="00C0365A"/>
    <w:rsid w:val="00C07D30"/>
    <w:rsid w:val="00C62C82"/>
    <w:rsid w:val="00CA20A5"/>
    <w:rsid w:val="00CB1BE7"/>
    <w:rsid w:val="00CC647B"/>
    <w:rsid w:val="00CC74DB"/>
    <w:rsid w:val="00CD69D4"/>
    <w:rsid w:val="00CF46D9"/>
    <w:rsid w:val="00D319B9"/>
    <w:rsid w:val="00D67A33"/>
    <w:rsid w:val="00D977BD"/>
    <w:rsid w:val="00DF5CD0"/>
    <w:rsid w:val="00E02200"/>
    <w:rsid w:val="00E31A08"/>
    <w:rsid w:val="00E86A66"/>
    <w:rsid w:val="00EB07DD"/>
    <w:rsid w:val="00EC066A"/>
    <w:rsid w:val="00ED6D4D"/>
    <w:rsid w:val="00EE2B2D"/>
    <w:rsid w:val="00F10619"/>
    <w:rsid w:val="00F33F86"/>
    <w:rsid w:val="00F53C9A"/>
    <w:rsid w:val="00F71643"/>
    <w:rsid w:val="00F7514B"/>
    <w:rsid w:val="00FA023E"/>
    <w:rsid w:val="00FD5C7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D7611"/>
  <w15:chartTrackingRefBased/>
  <w15:docId w15:val="{5FCB6D1F-C6A5-423C-BCDA-0927CA07A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B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6BB1"/>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77DD"/>
    <w:pPr>
      <w:ind w:left="720"/>
      <w:contextualSpacing/>
    </w:pPr>
    <w:rPr>
      <w:szCs w:val="20"/>
      <w:lang w:bidi="hi-IN"/>
    </w:rPr>
  </w:style>
  <w:style w:type="paragraph" w:styleId="Header">
    <w:name w:val="header"/>
    <w:basedOn w:val="Normal"/>
    <w:link w:val="HeaderChar"/>
    <w:uiPriority w:val="99"/>
    <w:unhideWhenUsed/>
    <w:rsid w:val="000C7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7DD"/>
  </w:style>
  <w:style w:type="character" w:styleId="LineNumber">
    <w:name w:val="line number"/>
    <w:basedOn w:val="DefaultParagraphFont"/>
    <w:uiPriority w:val="99"/>
    <w:semiHidden/>
    <w:unhideWhenUsed/>
    <w:rsid w:val="000C77DD"/>
  </w:style>
  <w:style w:type="paragraph" w:styleId="NormalWeb">
    <w:name w:val="Normal (Web)"/>
    <w:basedOn w:val="Normal"/>
    <w:uiPriority w:val="99"/>
    <w:unhideWhenUsed/>
    <w:rsid w:val="005531C4"/>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character" w:styleId="Hyperlink">
    <w:name w:val="Hyperlink"/>
    <w:basedOn w:val="DefaultParagraphFont"/>
    <w:uiPriority w:val="99"/>
    <w:unhideWhenUsed/>
    <w:rsid w:val="00540629"/>
    <w:rPr>
      <w:color w:val="0563C1" w:themeColor="hyperlink"/>
      <w:u w:val="single"/>
    </w:rPr>
  </w:style>
  <w:style w:type="paragraph" w:styleId="Revision">
    <w:name w:val="Revision"/>
    <w:hidden/>
    <w:uiPriority w:val="99"/>
    <w:semiHidden/>
    <w:rsid w:val="00AB6E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yperlink" Target="https://doi.org/10.1186/1476-069x-13-108" TargetMode="External"/><Relationship Id="rId18" Type="http://schemas.openxmlformats.org/officeDocument/2006/relationships/hyperlink" Target="https://doi.org/10.1016/j.envadv.2021.10005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3390/ijms24031825" TargetMode="Externa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hyperlink" Target="https://doi.org/10.1016/j.talanta.2019.120486"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016/j.cellsig.2020.109776" TargetMode="External"/><Relationship Id="rId20" Type="http://schemas.openxmlformats.org/officeDocument/2006/relationships/hyperlink" Target="https://doi.org/10.1007/s11356-022-21059-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hyperlink" Target="https://doi.org/10.1007/s00604-024-06343-y" TargetMode="External"/><Relationship Id="rId5" Type="http://schemas.openxmlformats.org/officeDocument/2006/relationships/footnotes" Target="footnotes.xml"/><Relationship Id="rId15" Type="http://schemas.openxmlformats.org/officeDocument/2006/relationships/hyperlink" Target="https://doi.org/10.1016/j.apr.2022.101399" TargetMode="External"/><Relationship Id="rId23" Type="http://schemas.openxmlformats.org/officeDocument/2006/relationships/hyperlink" Target="https://doi.org/10.1016/j.microc.2024.112164" TargetMode="External"/><Relationship Id="rId10" Type="http://schemas.openxmlformats.org/officeDocument/2006/relationships/image" Target="media/image4.tiff"/><Relationship Id="rId19" Type="http://schemas.openxmlformats.org/officeDocument/2006/relationships/hyperlink" Target="https://doi.org/10.1021/acsomega.2c02802"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doi.org/10.1177/1091581820932875" TargetMode="External"/><Relationship Id="rId22" Type="http://schemas.openxmlformats.org/officeDocument/2006/relationships/hyperlink" Target="https://doi.org/10.7759/cureus.8296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14</Pages>
  <Words>3552</Words>
  <Characters>20251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Prasan kaur</dc:creator>
  <cp:keywords/>
  <dc:description/>
  <cp:lastModifiedBy>Nona-Parsa-Parinaz</cp:lastModifiedBy>
  <cp:revision>83</cp:revision>
  <dcterms:created xsi:type="dcterms:W3CDTF">2024-10-01T11:27:00Z</dcterms:created>
  <dcterms:modified xsi:type="dcterms:W3CDTF">2025-11-18T06:13:00Z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6faad751-0a03-41ad-bc90-313149ab6197</vt:lpwstr>
  </property>
</Properties>
</file>