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Supplementary Table1. Univariate &amp; multivariate analysis of PFS in gemcitabine &amp; capecitabine vs (m)FOLFIRINOX</w:t>
      </w:r>
    </w:p>
    <w:tbl>
      <w:tblPr>
        <w:tblStyle w:val="MediumShading2-Accent5"/>
        <w:tblpPr w:leftFromText="180" w:rightFromText="180" w:vertAnchor="text" w:horzAnchor="margin" w:tblpXSpec="center" w:tblpY="211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403"/>
        <w:gridCol w:w="764"/>
        <w:gridCol w:w="805"/>
        <w:gridCol w:w="710"/>
        <w:gridCol w:w="991"/>
        <w:gridCol w:w="852"/>
        <w:gridCol w:w="849"/>
        <w:gridCol w:w="1276"/>
        <w:gridCol w:w="102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tcW w:w="8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</w:rPr>
              <w:t>Variable</w:t>
            </w:r>
          </w:p>
        </w:tc>
        <w:tc>
          <w:tcPr>
            <w:tcW w:w="4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</w:rPr>
              <w:t>Total n/</w:t>
            </w:r>
          </w:p>
          <w:p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</w:rPr>
              <w:t>events</w:t>
            </w:r>
          </w:p>
        </w:tc>
        <w:tc>
          <w:tcPr>
            <w:tcW w:w="1935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</w:rPr>
              <w:t>Univariate analysis</w:t>
            </w:r>
          </w:p>
        </w:tc>
        <w:tc>
          <w:tcPr>
            <w:tcW w:w="1817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</w:rPr>
              <w:t>Multivariate analysis</w:t>
            </w:r>
          </w:p>
        </w:tc>
      </w:tr>
      <w:tr>
        <w:trPr>
          <w:trHeight w:val="641"/>
        </w:trPr>
        <w:tc>
          <w:tcPr>
            <w:tcW w:w="808" w:type="pct"/>
            <w:noWrap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14"/>
                <w:szCs w:val="14"/>
              </w:rPr>
            </w:pPr>
          </w:p>
        </w:tc>
        <w:tc>
          <w:tcPr>
            <w:tcW w:w="440" w:type="pct"/>
            <w:noWrap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464" w:type="pct"/>
            <w:noWrap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mPFS</w:t>
            </w:r>
          </w:p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(mo)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HR</w:t>
            </w:r>
          </w:p>
          <w:p>
            <w:pPr>
              <w:spacing w:after="120" w:line="264" w:lineRule="auto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489" w:type="pct"/>
            <w:noWrap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HR</w:t>
            </w:r>
          </w:p>
        </w:tc>
        <w:tc>
          <w:tcPr>
            <w:tcW w:w="735" w:type="pct"/>
            <w:noWrap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593" w:type="pct"/>
            <w:noWrap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4"/>
                <w:szCs w:val="14"/>
              </w:rPr>
              <w:t>P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*</w:t>
            </w:r>
          </w:p>
        </w:tc>
      </w:tr>
      <w:tr>
        <w:trPr>
          <w:trHeight w:val="271"/>
        </w:trPr>
        <w:tc>
          <w:tcPr>
            <w:tcW w:w="5000" w:type="pct"/>
            <w:gridSpan w:val="9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First-line systemic chemotherapy</w:t>
            </w:r>
            <w:r>
              <w:rPr>
                <w:rFonts w:eastAsia="Times New Roman" w:cstheme="minorHAnsi"/>
                <w:sz w:val="14"/>
                <w:szCs w:val="14"/>
              </w:rPr>
              <w:t xml:space="preserve"> (n=178) 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Gemcitabine &amp; capecitabine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87/76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4.93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(m)FOLFIRINOX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91/62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9.00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0.53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0.38-0.75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&lt;0.0001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0.62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0.42-0.91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0.02</w:t>
            </w:r>
          </w:p>
        </w:tc>
      </w:tr>
      <w:tr>
        <w:trPr>
          <w:trHeight w:val="271"/>
        </w:trPr>
        <w:tc>
          <w:tcPr>
            <w:tcW w:w="5000" w:type="pct"/>
            <w:gridSpan w:val="9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ECOG (n=178)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0-1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172/132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7.37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0.19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0.08-0.44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&lt;0.0001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0.52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0.21-1.29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0.16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6/6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2.13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Tumor location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(n = 178)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Head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95/80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6.80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Body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62/41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7.07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0.97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0.67-1.42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0.88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0.86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0.58-1.26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0.43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Tail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21/17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7.37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1.50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0.88-2.55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0.14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1.84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1.04-3.26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0.04</w:t>
            </w:r>
          </w:p>
        </w:tc>
      </w:tr>
      <w:tr>
        <w:trPr>
          <w:trHeight w:val="271"/>
        </w:trPr>
        <w:tc>
          <w:tcPr>
            <w:tcW w:w="5000" w:type="pct"/>
            <w:gridSpan w:val="9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Extent of disease (n=178)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Locally advanced unresectable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59/43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8.8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0.60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0.42-0.87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0.01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0.57-1.32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0.51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Metastatic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119/95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6.0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Ref 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Level of carbohydrate antigen 19-9 (n=174)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Normal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†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35/25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9.13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0.52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0.32-0.86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0.01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0.49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0.28-0.84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0.01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Elevated, &lt;59 x ULN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82/66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6.53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0.62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0.42-0.91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0.02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0.69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0.46-1.04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Elevated, ≥59 x ULN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57/44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5.10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735" w:type="pct"/>
            <w:noWrap/>
          </w:tcPr>
          <w:p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Biliary stent (n=178)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No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133/97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7.37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0.84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0.58-1.20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0.33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Yes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45/41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5.73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Best response (n=159)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SD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83/65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8.23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0.23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0.16-0.34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&lt;0.0001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0.15-0.34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CR/PR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30/25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9.13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0.17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0.10-0.28</w:t>
            </w: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>&lt;0.0001</w:t>
            </w: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0.09-0.27</w:t>
            </w: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</w:tr>
      <w:tr>
        <w:trPr>
          <w:trHeight w:val="271"/>
        </w:trPr>
        <w:tc>
          <w:tcPr>
            <w:tcW w:w="808" w:type="pct"/>
            <w:noWrap/>
            <w:hideMark/>
          </w:tcPr>
          <w:p>
            <w:pPr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PD</w:t>
            </w:r>
          </w:p>
        </w:tc>
        <w:tc>
          <w:tcPr>
            <w:tcW w:w="440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46/46</w:t>
            </w:r>
          </w:p>
        </w:tc>
        <w:tc>
          <w:tcPr>
            <w:tcW w:w="464" w:type="pct"/>
            <w:noWrap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2.07</w:t>
            </w:r>
          </w:p>
        </w:tc>
        <w:tc>
          <w:tcPr>
            <w:tcW w:w="409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71" w:type="pct"/>
          </w:tcPr>
          <w:p>
            <w:pPr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491" w:type="pct"/>
          </w:tcPr>
          <w:p>
            <w:pPr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489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73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tcW w:w="5000" w:type="pct"/>
            <w:gridSpan w:val="9"/>
            <w:noWrap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 xml:space="preserve">* Statistically significant; </w:t>
            </w: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P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 xml:space="preserve"> value &lt;0.05</w:t>
            </w:r>
          </w:p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Abbreviations: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ULN, upper limits of normal;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PFS, Progression-free survival; OS, overall survival; SD, stable disease; CR, complete response; PR, partial response; PD, progressive disease</w:t>
            </w:r>
          </w:p>
        </w:tc>
      </w:tr>
    </w:tbl>
    <w:p>
      <w:pPr>
        <w:rPr>
          <w:sz w:val="14"/>
          <w:szCs w:val="18"/>
        </w:rPr>
      </w:pPr>
      <w:r>
        <w:rPr>
          <w:sz w:val="14"/>
          <w:szCs w:val="18"/>
        </w:rPr>
        <w:t>Abbreviations: dMMR, deficient MMR; proficient MMR</w:t>
      </w:r>
    </w:p>
    <w:p>
      <w:pPr>
        <w:rPr>
          <w:sz w:val="14"/>
          <w:szCs w:val="18"/>
        </w:rPr>
      </w:pPr>
    </w:p>
    <w:p/>
    <w:p/>
    <w:p/>
    <w:p/>
    <w:p/>
    <w:p/>
    <w:p/>
    <w:p/>
    <w:p/>
    <w:p>
      <w:pPr>
        <w:rPr>
          <w:b/>
          <w:bCs/>
          <w:sz w:val="20"/>
          <w:szCs w:val="24"/>
        </w:rPr>
      </w:pPr>
    </w:p>
    <w:p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Supplementary Table 2. Univariate &amp; multivariate analysis of OS in gemcitabine &amp; capecitabine vs (m)FOLFIRINOX</w:t>
      </w:r>
    </w:p>
    <w:p>
      <w:pPr>
        <w:rPr>
          <w:b/>
          <w:bCs/>
          <w:sz w:val="20"/>
          <w:szCs w:val="24"/>
        </w:rPr>
      </w:pPr>
    </w:p>
    <w:tbl>
      <w:tblPr>
        <w:tblStyle w:val="MediumShading2-Accent5"/>
        <w:tblpPr w:leftFromText="180" w:rightFromText="180" w:vertAnchor="text" w:horzAnchor="margin" w:tblpXSpec="center" w:tblpY="177"/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60" w:firstRow="1" w:lastRow="1" w:firstColumn="0" w:lastColumn="0" w:noHBand="1" w:noVBand="1"/>
      </w:tblPr>
      <w:tblGrid>
        <w:gridCol w:w="1469"/>
        <w:gridCol w:w="794"/>
        <w:gridCol w:w="856"/>
        <w:gridCol w:w="849"/>
        <w:gridCol w:w="992"/>
        <w:gridCol w:w="708"/>
        <w:gridCol w:w="849"/>
        <w:gridCol w:w="1134"/>
        <w:gridCol w:w="10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tcW w:w="8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Variable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Total n/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events</w:t>
            </w:r>
          </w:p>
        </w:tc>
        <w:tc>
          <w:tcPr>
            <w:tcW w:w="1952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Univariate analysis</w:t>
            </w:r>
          </w:p>
        </w:tc>
        <w:tc>
          <w:tcPr>
            <w:tcW w:w="175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Multivariate analysis</w:t>
            </w:r>
          </w:p>
        </w:tc>
      </w:tr>
      <w:tr>
        <w:trPr>
          <w:trHeight w:val="64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5" w:type="pct"/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mOS (mo)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HR</w:t>
            </w:r>
          </w:p>
          <w:p>
            <w:pPr>
              <w:spacing w:after="120" w:line="264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487" w:type="pct"/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HR</w:t>
            </w:r>
          </w:p>
        </w:tc>
        <w:tc>
          <w:tcPr>
            <w:tcW w:w="650" w:type="pct"/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613" w:type="pct"/>
            <w:shd w:val="clear" w:color="auto" w:fill="FFFFFF" w:themeFill="background1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*</w:t>
            </w: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First-line systemic chemotherapy </w:t>
            </w:r>
            <w:r>
              <w:rPr>
                <w:rFonts w:eastAsia="Times New Roman" w:cstheme="minorHAnsi"/>
                <w:sz w:val="14"/>
                <w:szCs w:val="14"/>
              </w:rPr>
              <w:t>(n=</w:t>
            </w:r>
            <w:r>
              <w:rPr>
                <w:rFonts w:eastAsia="Times New Roman"/>
                <w:sz w:val="14"/>
                <w:szCs w:val="17"/>
                <w:lang w:bidi="th-TH"/>
              </w:rPr>
              <w:t>178</w:t>
            </w:r>
            <w:r>
              <w:rPr>
                <w:rFonts w:eastAsia="Times New Roman" w:cstheme="minorHAnsi"/>
                <w:sz w:val="14"/>
                <w:szCs w:val="14"/>
              </w:rPr>
              <w:t xml:space="preserve"> 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Gemcitabine &amp; capecitabine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87/80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10.2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(m)FOLFIRINOX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91/69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11.53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0.85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0.62-1.18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0.33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0.72-1.59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0.73</w:t>
            </w: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ECOG </w:t>
            </w:r>
            <w:r>
              <w:rPr>
                <w:rFonts w:eastAsia="Times New Roman" w:cstheme="minorHAnsi"/>
                <w:sz w:val="14"/>
                <w:szCs w:val="14"/>
              </w:rPr>
              <w:t>(n=</w:t>
            </w:r>
            <w:r>
              <w:rPr>
                <w:rFonts w:eastAsia="Times New Roman"/>
                <w:sz w:val="14"/>
                <w:szCs w:val="17"/>
                <w:lang w:bidi="th-TH"/>
              </w:rPr>
              <w:t>178</w:t>
            </w:r>
            <w:r>
              <w:rPr>
                <w:rFonts w:eastAsia="Times New Roman" w:cstheme="minorHAnsi"/>
                <w:sz w:val="14"/>
                <w:szCs w:val="14"/>
              </w:rPr>
              <w:t xml:space="preserve"> 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0-1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172/143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11.17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0.34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0.15-0.78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0.01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0.31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0.13-0.77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0.01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6/6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4.07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Tumor location </w:t>
            </w:r>
            <w:r>
              <w:rPr>
                <w:rFonts w:eastAsia="Times New Roman" w:cstheme="minorHAnsi"/>
                <w:sz w:val="14"/>
                <w:szCs w:val="14"/>
              </w:rPr>
              <w:t>(n=178)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Head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95/81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10.73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Body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62/48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10.50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1.34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0.94-1.93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1.60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1.06-2.41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0.03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Tail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21/20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11.17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1.14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0.70-1.87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0.59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1.29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0.71-2.33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0.41</w:t>
            </w: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Extent of disease </w:t>
            </w:r>
            <w:r>
              <w:rPr>
                <w:rFonts w:eastAsia="Times New Roman" w:cstheme="minorHAnsi"/>
                <w:sz w:val="14"/>
                <w:szCs w:val="14"/>
              </w:rPr>
              <w:t>(n=178)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Locally advanced unresectable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59/47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11.7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0.77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0.54-1.09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0.69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0.45-1.06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Metastatic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119/102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Angsana New"/>
                <w:sz w:val="14"/>
                <w:szCs w:val="17"/>
                <w:lang w:bidi="th-TH"/>
              </w:rPr>
            </w:pPr>
            <w:r>
              <w:rPr>
                <w:rFonts w:ascii="Times New Roman" w:eastAsia="Times New Roman" w:hAnsi="Times New Roman" w:cs="Angsana New"/>
                <w:sz w:val="14"/>
                <w:szCs w:val="17"/>
                <w:lang w:bidi="th-TH"/>
              </w:rPr>
              <w:t>Ref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Level of carbohydrate antigen 19-9 </w:t>
            </w:r>
            <w:r>
              <w:rPr>
                <w:rFonts w:eastAsia="Times New Roman" w:cstheme="minorHAnsi"/>
                <w:sz w:val="14"/>
                <w:szCs w:val="14"/>
              </w:rPr>
              <w:t>(n=174)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Normal</w:t>
            </w:r>
            <w:r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  <w:t>†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35/30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12.27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0.71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0.45-1.12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0.58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0.35-0.97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0.04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Elevated, &lt;59 x ULN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82/65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11.70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0.54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0.37-0.78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0.001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0.50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0.32-0.78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0.002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Elevated, ≥59 x ULN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57/50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7.93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Biliary stent </w:t>
            </w:r>
            <w:r>
              <w:rPr>
                <w:rFonts w:eastAsia="Times New Roman" w:cstheme="minorHAnsi"/>
                <w:sz w:val="14"/>
                <w:szCs w:val="14"/>
              </w:rPr>
              <w:t>(n=178 )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133/108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10.60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Yes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45/41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13.37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0.93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0.45-1.34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0.69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Best response </w:t>
            </w:r>
            <w:r>
              <w:rPr>
                <w:rFonts w:eastAsia="Times New Roman" w:cstheme="minorHAnsi"/>
                <w:sz w:val="14"/>
                <w:szCs w:val="14"/>
              </w:rPr>
              <w:t>(n=</w:t>
            </w:r>
            <w:r>
              <w:rPr>
                <w:rFonts w:eastAsia="Times New Roman"/>
                <w:sz w:val="14"/>
                <w:szCs w:val="17"/>
                <w:lang w:bidi="th-TH"/>
              </w:rPr>
              <w:t>159</w:t>
            </w:r>
            <w:r>
              <w:rPr>
                <w:rFonts w:eastAsia="Times New Roman" w:cstheme="minorHAnsi"/>
                <w:sz w:val="14"/>
                <w:szCs w:val="14"/>
              </w:rPr>
              <w:t xml:space="preserve"> 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SD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83/66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13.6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0.30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0.20-0.45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0.36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0.23-0.56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CR/PR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30/23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19.53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0.08-0.25</w:t>
            </w: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0.10-0.32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PD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46/43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5.33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5000" w:type="pct"/>
            <w:gridSpan w:val="9"/>
            <w:shd w:val="clear" w:color="auto" w:fill="FFFFFF" w:themeFill="background1"/>
            <w:noWrap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Subsequent line </w:t>
            </w:r>
            <w:r>
              <w:rPr>
                <w:rFonts w:eastAsia="Times New Roman" w:cstheme="minorHAnsi"/>
                <w:sz w:val="14"/>
                <w:szCs w:val="14"/>
              </w:rPr>
              <w:t>(n=178 )</w:t>
            </w:r>
          </w:p>
        </w:tc>
      </w:tr>
      <w:tr>
        <w:trPr>
          <w:trHeight w:val="271"/>
        </w:trPr>
        <w:tc>
          <w:tcPr>
            <w:tcW w:w="842" w:type="pct"/>
            <w:shd w:val="clear" w:color="auto" w:fill="FFFFFF" w:themeFill="background1"/>
            <w:noWrap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No </w:t>
            </w:r>
          </w:p>
        </w:tc>
        <w:tc>
          <w:tcPr>
            <w:tcW w:w="455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105/83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8.37</w:t>
            </w:r>
          </w:p>
        </w:tc>
        <w:tc>
          <w:tcPr>
            <w:tcW w:w="487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Ref</w:t>
            </w:r>
          </w:p>
        </w:tc>
        <w:tc>
          <w:tcPr>
            <w:tcW w:w="569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Ref</w:t>
            </w:r>
          </w:p>
        </w:tc>
        <w:tc>
          <w:tcPr>
            <w:tcW w:w="650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>
        <w:trPr>
          <w:trHeight w:val="271"/>
        </w:trPr>
        <w:tc>
          <w:tcPr>
            <w:tcW w:w="842" w:type="pct"/>
            <w:noWrap/>
          </w:tcPr>
          <w:p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Yes</w:t>
            </w:r>
          </w:p>
        </w:tc>
        <w:tc>
          <w:tcPr>
            <w:tcW w:w="455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73/66</w:t>
            </w:r>
          </w:p>
        </w:tc>
        <w:tc>
          <w:tcPr>
            <w:tcW w:w="491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14.67</w:t>
            </w:r>
          </w:p>
        </w:tc>
        <w:tc>
          <w:tcPr>
            <w:tcW w:w="4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0.54</w:t>
            </w:r>
          </w:p>
        </w:tc>
        <w:tc>
          <w:tcPr>
            <w:tcW w:w="569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0.39-0.75</w:t>
            </w:r>
          </w:p>
        </w:tc>
        <w:tc>
          <w:tcPr>
            <w:tcW w:w="406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  <w:tc>
          <w:tcPr>
            <w:tcW w:w="4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0.48</w:t>
            </w:r>
          </w:p>
        </w:tc>
        <w:tc>
          <w:tcPr>
            <w:tcW w:w="650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0.33-0.70</w:t>
            </w:r>
          </w:p>
        </w:tc>
        <w:tc>
          <w:tcPr>
            <w:tcW w:w="613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&lt;0.0001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tcW w:w="5000" w:type="pct"/>
            <w:gridSpan w:val="9"/>
            <w:noWrap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 xml:space="preserve">* Statistically significant; </w:t>
            </w: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P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 xml:space="preserve"> value &lt;0.05</w:t>
            </w:r>
          </w:p>
          <w:p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Abbreviations: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ULN, upper limits of normal;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PFS, Progression-free survival; OS, overall survival; SD, stable disease; CR, complete response; PR, partial response; PD, progressive disease</w:t>
            </w:r>
          </w:p>
        </w:tc>
      </w:tr>
    </w:tbl>
    <w:p/>
    <w:p/>
    <w:p/>
    <w:p/>
    <w:p/>
    <w:p/>
    <w:p/>
    <w:p/>
    <w:p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Supplementary Table 3. </w:t>
      </w:r>
      <w:r>
        <w:rPr>
          <w:b/>
          <w:bCs/>
        </w:rPr>
        <w:t>Treatment-related adverse events</w:t>
      </w:r>
    </w:p>
    <w:tbl>
      <w:tblPr>
        <w:tblStyle w:val="MediumShading2-Accent5"/>
        <w:tblpPr w:leftFromText="180" w:rightFromText="180" w:vertAnchor="text" w:horzAnchor="margin" w:tblpY="2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E0" w:firstRow="1" w:lastRow="1" w:firstColumn="1" w:lastColumn="0" w:noHBand="1" w:noVBand="1"/>
      </w:tblPr>
      <w:tblGrid>
        <w:gridCol w:w="1963"/>
        <w:gridCol w:w="1378"/>
        <w:gridCol w:w="1753"/>
        <w:gridCol w:w="1632"/>
        <w:gridCol w:w="1241"/>
        <w:gridCol w:w="104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Adverse events</w:t>
            </w:r>
          </w:p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auto"/>
                <w:sz w:val="16"/>
                <w:szCs w:val="16"/>
                <w:lang w:bidi="th-TH"/>
              </w:rPr>
              <w:t>All grades</w:t>
            </w:r>
          </w:p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Grade 3 or Higher</w:t>
            </w:r>
          </w:p>
        </w:tc>
        <w:tc>
          <w:tcPr>
            <w:tcW w:w="3329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First-line chemotherapy</w:t>
            </w:r>
          </w:p>
        </w:tc>
        <w:tc>
          <w:tcPr>
            <w:tcW w:w="58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</w:p>
          <w:p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auto"/>
                <w:sz w:val="16"/>
                <w:szCs w:val="16"/>
                <w:lang w:bidi="th-TH"/>
              </w:rPr>
              <w:t>P</w:t>
            </w: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*</w:t>
            </w:r>
          </w:p>
        </w:tc>
      </w:tr>
      <w:tr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Gemcitabine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 xml:space="preserve"> 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>n (%)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Gemcitabine &amp; capecitabine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 xml:space="preserve"> 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>n (%)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(m)FOLFIRINOX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 xml:space="preserve"> 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>n (%)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Platinum doublets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>n (%)</w:t>
            </w:r>
          </w:p>
        </w:tc>
        <w:tc>
          <w:tcPr>
            <w:tcW w:w="582" w:type="pct"/>
            <w:vMerge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</w:p>
        </w:tc>
      </w:tr>
      <w:tr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Anemia</w:t>
            </w: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66(60)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16(14.5)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56(53.5)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11(12.8)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53(59.6)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24(27)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20(66.7)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7(23.3)</w:t>
            </w:r>
          </w:p>
        </w:tc>
        <w:tc>
          <w:tcPr>
            <w:tcW w:w="58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0.20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0.05*</w:t>
            </w:r>
          </w:p>
        </w:tc>
      </w:tr>
      <w:tr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Neutropenia</w:t>
            </w: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60(54.5)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15(13.6)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41(47.7)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13(15.1)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18(20.2)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11(12.4)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15(50)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2(6.7)</w:t>
            </w:r>
          </w:p>
        </w:tc>
        <w:tc>
          <w:tcPr>
            <w:tcW w:w="58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&lt;0.0001*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0.67</w:t>
            </w:r>
          </w:p>
        </w:tc>
      </w:tr>
      <w:tr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Febrile neutropenia</w:t>
            </w: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4(4.7)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5(5.6)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58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0.06</w:t>
            </w:r>
          </w:p>
        </w:tc>
      </w:tr>
      <w:tr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Thrombocytopenia</w:t>
            </w: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21(19.1)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6(5.5)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11(12.8)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3(3.5)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26(29.2)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6(6.7)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7(23.3)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2(6.7)</w:t>
            </w:r>
          </w:p>
        </w:tc>
        <w:tc>
          <w:tcPr>
            <w:tcW w:w="58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0.33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0.78</w:t>
            </w:r>
          </w:p>
        </w:tc>
      </w:tr>
      <w:tr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Neuropathy</w:t>
            </w: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0(0)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1(1.2)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28(31.5)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4(4.5)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7(23.3)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58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&lt;0.0001*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0.02*</w:t>
            </w:r>
          </w:p>
        </w:tc>
      </w:tr>
      <w:tr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>Diarrhea</w:t>
            </w: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5(4.5)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3(2.7)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18(20.9)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3(3.5)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28(31.5)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10(11.2)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2(6.7)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58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&lt;0.0001*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0.02*</w:t>
            </w:r>
          </w:p>
        </w:tc>
      </w:tr>
      <w:tr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bidi="th-TH"/>
              </w:rPr>
              <w:t xml:space="preserve">Palmar-plantar erythrodysesthesia </w:t>
            </w:r>
          </w:p>
        </w:tc>
        <w:tc>
          <w:tcPr>
            <w:tcW w:w="764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0(0)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97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30(34.9)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7(8.1)</w:t>
            </w:r>
          </w:p>
        </w:tc>
        <w:tc>
          <w:tcPr>
            <w:tcW w:w="905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0(0)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0(0)</w:t>
            </w:r>
          </w:p>
        </w:tc>
        <w:tc>
          <w:tcPr>
            <w:tcW w:w="688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3(10)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1(3.3)</w:t>
            </w:r>
          </w:p>
        </w:tc>
        <w:tc>
          <w:tcPr>
            <w:tcW w:w="582" w:type="pct"/>
            <w:shd w:val="clear" w:color="auto" w:fill="auto"/>
          </w:tcPr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bidi="th-TH"/>
              </w:rPr>
              <w:t>&lt;0.0001*</w:t>
            </w:r>
          </w:p>
          <w:p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bidi="th-TH"/>
              </w:rPr>
              <w:t>0.001*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  <w:lang w:bidi="th-TH"/>
              </w:rPr>
              <w:t xml:space="preserve">*Adverse events of all grades are indicated in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sz w:val="16"/>
                <w:szCs w:val="16"/>
                <w:lang w:bidi="th-TH"/>
              </w:rPr>
              <w:t>italic text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  <w:lang w:bidi="th-TH"/>
              </w:rPr>
              <w:t xml:space="preserve">, while those classified as Grade 3 or higher are presented in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bidi="th-TH"/>
              </w:rPr>
              <w:t>bold text.</w:t>
            </w:r>
          </w:p>
          <w:p>
            <w:pPr>
              <w:spacing w:after="160" w:line="259" w:lineRule="auto"/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  <w:lang w:bidi="th-TH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  <w:lang w:bidi="th-TH"/>
              </w:rPr>
              <w:t xml:space="preserve">* Statistically significant;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sz w:val="16"/>
                <w:szCs w:val="16"/>
                <w:lang w:bidi="th-TH"/>
              </w:rPr>
              <w:t>P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  <w:lang w:bidi="th-TH"/>
              </w:rPr>
              <w:t xml:space="preserve"> value &lt;0.05 </w:t>
            </w:r>
          </w:p>
        </w:tc>
      </w:tr>
    </w:tbl>
    <w:p>
      <w:pPr>
        <w:rPr>
          <w:sz w:val="18"/>
          <w:szCs w:val="22"/>
        </w:rPr>
      </w:pPr>
    </w:p>
    <w:p>
      <w:pPr>
        <w:rPr>
          <w:sz w:val="18"/>
          <w:szCs w:val="22"/>
        </w:rPr>
      </w:pPr>
    </w:p>
    <w:sectPr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tzSxMDA0szQ3sDRW0lEKTi0uzszPAykwrAUARKn91y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7EE33-9BD0-46B5-A781-9C763C7B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6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rPr>
      <w:rFonts w:eastAsiaTheme="minorEastAsia"/>
      <w:sz w:val="20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5F12-2771-47CA-AF4F-A8A76B8D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KRITTIYA KORPHAISARN</dc:creator>
  <cp:keywords/>
  <dc:description/>
  <cp:lastModifiedBy>KRITTIYA KORPHAISARN</cp:lastModifiedBy>
  <cp:revision>10</cp:revision>
  <dcterms:created xsi:type="dcterms:W3CDTF">2023-12-29T12:40:00Z</dcterms:created>
  <dcterms:modified xsi:type="dcterms:W3CDTF">2024-01-24T07:02:00Z</dcterms:modified>
</cp:coreProperties>
</file>