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B19" w:rsidRDefault="00726B19" w:rsidP="00726B19">
      <w:pPr>
        <w:ind w:right="-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Table No. 1: Key characteristics of included studies</w:t>
      </w:r>
    </w:p>
    <w:tbl>
      <w:tblPr>
        <w:tblW w:w="10456" w:type="dxa"/>
        <w:jc w:val="center"/>
        <w:tblBorders>
          <w:top w:val="single" w:sz="8" w:space="0" w:color="4F81BD"/>
          <w:bottom w:val="single" w:sz="8" w:space="0" w:color="4F81BD"/>
        </w:tblBorders>
        <w:tblLayout w:type="fixed"/>
        <w:tblLook w:val="04A0"/>
      </w:tblPr>
      <w:tblGrid>
        <w:gridCol w:w="1098"/>
        <w:gridCol w:w="1080"/>
        <w:gridCol w:w="1800"/>
        <w:gridCol w:w="1440"/>
        <w:gridCol w:w="1350"/>
        <w:gridCol w:w="1080"/>
        <w:gridCol w:w="1080"/>
        <w:gridCol w:w="1528"/>
      </w:tblGrid>
      <w:tr w:rsidR="00726B19" w:rsidRPr="00E5406E" w:rsidTr="003E1A31">
        <w:trPr>
          <w:jc w:val="center"/>
        </w:trPr>
        <w:tc>
          <w:tcPr>
            <w:tcW w:w="109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b/>
                <w:bCs/>
                <w:i/>
                <w:color w:val="000000"/>
                <w:sz w:val="16"/>
                <w:szCs w:val="16"/>
              </w:rPr>
            </w:pPr>
            <w:r w:rsidRPr="00E5406E">
              <w:rPr>
                <w:rFonts w:eastAsia="Times New Roman" w:cs="Calibri"/>
                <w:b/>
                <w:bCs/>
                <w:i/>
                <w:color w:val="000000"/>
                <w:sz w:val="16"/>
                <w:szCs w:val="16"/>
              </w:rPr>
              <w:t>Author (Year)</w:t>
            </w:r>
          </w:p>
        </w:tc>
        <w:tc>
          <w:tcPr>
            <w:tcW w:w="108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b/>
                <w:bCs/>
                <w:i/>
                <w:color w:val="000000"/>
                <w:sz w:val="16"/>
                <w:szCs w:val="16"/>
              </w:rPr>
            </w:pPr>
            <w:r w:rsidRPr="00E5406E">
              <w:rPr>
                <w:rFonts w:cs="Calibri"/>
                <w:b/>
                <w:bCs/>
                <w:i/>
                <w:color w:val="000000"/>
                <w:sz w:val="16"/>
                <w:szCs w:val="16"/>
              </w:rPr>
              <w:t>Study Design, Scope</w:t>
            </w:r>
          </w:p>
        </w:tc>
        <w:tc>
          <w:tcPr>
            <w:tcW w:w="180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b/>
                <w:bCs/>
                <w:i/>
                <w:color w:val="000000"/>
                <w:sz w:val="16"/>
                <w:szCs w:val="16"/>
              </w:rPr>
            </w:pPr>
            <w:r w:rsidRPr="00E5406E">
              <w:rPr>
                <w:rFonts w:eastAsia="Times New Roman" w:cs="Calibri"/>
                <w:b/>
                <w:bCs/>
                <w:i/>
                <w:color w:val="000000"/>
                <w:sz w:val="16"/>
                <w:szCs w:val="16"/>
              </w:rPr>
              <w:t>AI Focus</w:t>
            </w:r>
          </w:p>
        </w:tc>
        <w:tc>
          <w:tcPr>
            <w:tcW w:w="144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b/>
                <w:bCs/>
                <w:i/>
                <w:color w:val="000000"/>
                <w:sz w:val="16"/>
                <w:szCs w:val="16"/>
              </w:rPr>
            </w:pPr>
            <w:r w:rsidRPr="00E5406E">
              <w:rPr>
                <w:rFonts w:cs="Calibri"/>
                <w:b/>
                <w:bCs/>
                <w:i/>
                <w:color w:val="000000"/>
                <w:sz w:val="16"/>
                <w:szCs w:val="16"/>
              </w:rPr>
              <w:t>Diagnostic Accuracy</w:t>
            </w:r>
          </w:p>
        </w:tc>
        <w:tc>
          <w:tcPr>
            <w:tcW w:w="135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b/>
                <w:bCs/>
                <w:i/>
                <w:color w:val="000000"/>
                <w:sz w:val="16"/>
                <w:szCs w:val="16"/>
              </w:rPr>
            </w:pPr>
            <w:r w:rsidRPr="00E5406E">
              <w:rPr>
                <w:rFonts w:cs="Calibri"/>
                <w:b/>
                <w:bCs/>
                <w:i/>
                <w:color w:val="000000"/>
                <w:sz w:val="16"/>
                <w:szCs w:val="16"/>
              </w:rPr>
              <w:t>Accessibility &amp; Usability</w:t>
            </w:r>
          </w:p>
        </w:tc>
        <w:tc>
          <w:tcPr>
            <w:tcW w:w="108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b/>
                <w:bCs/>
                <w:i/>
                <w:color w:val="000000"/>
                <w:sz w:val="16"/>
                <w:szCs w:val="16"/>
              </w:rPr>
            </w:pPr>
            <w:r w:rsidRPr="00E5406E">
              <w:rPr>
                <w:rFonts w:cs="Calibri"/>
                <w:b/>
                <w:bCs/>
                <w:i/>
                <w:color w:val="000000"/>
                <w:sz w:val="16"/>
                <w:szCs w:val="16"/>
              </w:rPr>
              <w:t>Integration with Healthcare</w:t>
            </w:r>
          </w:p>
        </w:tc>
        <w:tc>
          <w:tcPr>
            <w:tcW w:w="108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b/>
                <w:bCs/>
                <w:i/>
                <w:color w:val="000000"/>
                <w:sz w:val="16"/>
                <w:szCs w:val="16"/>
              </w:rPr>
            </w:pPr>
            <w:r w:rsidRPr="00E5406E">
              <w:rPr>
                <w:rFonts w:cs="Calibri"/>
                <w:b/>
                <w:bCs/>
                <w:i/>
                <w:color w:val="000000"/>
                <w:sz w:val="16"/>
                <w:szCs w:val="16"/>
              </w:rPr>
              <w:t>Socio-economic Impact</w:t>
            </w:r>
          </w:p>
        </w:tc>
        <w:tc>
          <w:tcPr>
            <w:tcW w:w="152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b/>
                <w:bCs/>
                <w:i/>
                <w:color w:val="000000"/>
                <w:sz w:val="16"/>
                <w:szCs w:val="16"/>
              </w:rPr>
            </w:pPr>
            <w:r w:rsidRPr="00E5406E">
              <w:rPr>
                <w:rFonts w:cs="Calibri"/>
                <w:b/>
                <w:bCs/>
                <w:i/>
                <w:color w:val="000000"/>
                <w:sz w:val="16"/>
                <w:szCs w:val="16"/>
              </w:rPr>
              <w:t>Ethical &amp; Regulatory Compliance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Khanna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D et al (2025)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26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2"/>
            </w:tblGrid>
            <w:tr w:rsidR="00726B19" w:rsidRPr="00F44086" w:rsidTr="003E1A31">
              <w:trPr>
                <w:tblCellSpacing w:w="15" w:type="dxa"/>
              </w:trPr>
              <w:tc>
                <w:tcPr>
                  <w:tcW w:w="872" w:type="dxa"/>
                  <w:vAlign w:val="center"/>
                  <w:hideMark/>
                </w:tcPr>
                <w:p w:rsidR="00726B19" w:rsidRPr="00F44086" w:rsidRDefault="00726B19" w:rsidP="003E1A31">
                  <w:pPr>
                    <w:spacing w:after="0" w:line="240" w:lineRule="auto"/>
                    <w:rPr>
                      <w:rFonts w:eastAsia="Times New Roman" w:cs="Calibri"/>
                      <w:i/>
                      <w:sz w:val="16"/>
                      <w:szCs w:val="16"/>
                    </w:rPr>
                  </w:pPr>
                  <w:r w:rsidRPr="00F44086">
                    <w:rPr>
                      <w:rFonts w:eastAsia="Times New Roman" w:cs="Calibri"/>
                      <w:i/>
                      <w:sz w:val="16"/>
                      <w:szCs w:val="16"/>
                    </w:rPr>
                    <w:t>Prospective study, Rural setting, Varanasi, India</w:t>
                  </w:r>
                </w:p>
              </w:tc>
            </w:tr>
          </w:tbl>
          <w:p w:rsidR="00726B19" w:rsidRPr="00E5406E" w:rsidRDefault="00726B19" w:rsidP="003E1A31">
            <w:pPr>
              <w:spacing w:after="0" w:line="240" w:lineRule="auto"/>
              <w:rPr>
                <w:rFonts w:eastAsia="Times New Roman" w:cs="Calibri"/>
                <w:i/>
                <w:vanish/>
                <w:color w:val="365F91"/>
                <w:sz w:val="16"/>
                <w:szCs w:val="16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"/>
            </w:tblGrid>
            <w:tr w:rsidR="00726B19" w:rsidRPr="00F44086" w:rsidTr="003E1A3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726B19" w:rsidRPr="00F44086" w:rsidRDefault="00726B19" w:rsidP="003E1A31">
                  <w:pPr>
                    <w:spacing w:after="0" w:line="240" w:lineRule="auto"/>
                    <w:rPr>
                      <w:rFonts w:eastAsia="Times New Roman" w:cs="Calibri"/>
                      <w:i/>
                      <w:sz w:val="16"/>
                      <w:szCs w:val="16"/>
                    </w:rPr>
                  </w:pPr>
                </w:p>
              </w:tc>
            </w:tr>
          </w:tbl>
          <w:p w:rsidR="00726B19" w:rsidRPr="00E5406E" w:rsidRDefault="00726B19" w:rsidP="003E1A31">
            <w:pPr>
              <w:spacing w:after="0" w:line="240" w:lineRule="auto"/>
              <w:jc w:val="both"/>
              <w:rPr>
                <w:rFonts w:cs="Calibri"/>
                <w:i/>
                <w:color w:val="365F91"/>
                <w:sz w:val="16"/>
                <w:szCs w:val="16"/>
              </w:rPr>
            </w:pP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jc w:val="both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m-Health-enabled image capturing</w:t>
            </w:r>
          </w:p>
          <w:p w:rsidR="00726B19" w:rsidRPr="00E5406E" w:rsidRDefault="00726B19" w:rsidP="003E1A31">
            <w:pPr>
              <w:pStyle w:val="ListParagraph"/>
              <w:spacing w:after="0" w:line="240" w:lineRule="auto"/>
              <w:jc w:val="both"/>
              <w:rPr>
                <w:rFonts w:cs="Calibri"/>
                <w:i/>
                <w:color w:val="365F91"/>
                <w:sz w:val="16"/>
                <w:szCs w:val="16"/>
              </w:rPr>
            </w:pPr>
          </w:p>
          <w:p w:rsidR="00726B19" w:rsidRPr="00E5406E" w:rsidRDefault="00726B19" w:rsidP="003E1A31">
            <w:pPr>
              <w:spacing w:after="0" w:line="240" w:lineRule="auto"/>
              <w:jc w:val="both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Remote diagnosis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2" w:hanging="252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Moderate sensitivity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2" w:hanging="252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High specificity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D3DFEE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92"/>
            </w:tblGrid>
            <w:tr w:rsidR="00726B19" w:rsidRPr="00F44086" w:rsidTr="003E1A31">
              <w:trPr>
                <w:tblCellSpacing w:w="15" w:type="dxa"/>
              </w:trPr>
              <w:tc>
                <w:tcPr>
                  <w:tcW w:w="732" w:type="dxa"/>
                  <w:vAlign w:val="center"/>
                  <w:hideMark/>
                </w:tcPr>
                <w:p w:rsidR="00726B19" w:rsidRPr="00F44086" w:rsidRDefault="00726B19" w:rsidP="00726B19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52" w:hanging="252"/>
                    <w:rPr>
                      <w:rFonts w:cs="Calibri"/>
                      <w:i/>
                      <w:sz w:val="16"/>
                      <w:szCs w:val="16"/>
                    </w:rPr>
                  </w:pPr>
                  <w:r w:rsidRPr="00F44086">
                    <w:rPr>
                      <w:rFonts w:cs="Calibri"/>
                      <w:i/>
                      <w:sz w:val="16"/>
                      <w:szCs w:val="16"/>
                    </w:rPr>
                    <w:t xml:space="preserve">Empowers healthcare workers for field screening using mobile. </w:t>
                  </w:r>
                </w:p>
              </w:tc>
            </w:tr>
          </w:tbl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vanish/>
                <w:color w:val="365F91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50"/>
            </w:tblGrid>
            <w:tr w:rsidR="00726B19" w:rsidRPr="00F44086" w:rsidTr="003E1A31">
              <w:trPr>
                <w:tblCellSpacing w:w="15" w:type="dxa"/>
              </w:trPr>
              <w:tc>
                <w:tcPr>
                  <w:tcW w:w="690" w:type="dxa"/>
                  <w:vAlign w:val="center"/>
                  <w:hideMark/>
                </w:tcPr>
                <w:p w:rsidR="00726B19" w:rsidRPr="00F44086" w:rsidRDefault="00726B19" w:rsidP="00726B19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52" w:hanging="252"/>
                    <w:rPr>
                      <w:rFonts w:cs="Calibri"/>
                      <w:i/>
                      <w:sz w:val="16"/>
                      <w:szCs w:val="16"/>
                    </w:rPr>
                  </w:pPr>
                  <w:r w:rsidRPr="00F44086">
                    <w:rPr>
                      <w:rFonts w:cs="Calibri"/>
                      <w:i/>
                      <w:sz w:val="16"/>
                      <w:szCs w:val="16"/>
                    </w:rPr>
                    <w:t>Potential for integrating into real world settings.</w:t>
                  </w:r>
                </w:p>
              </w:tc>
            </w:tr>
          </w:tbl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vanish/>
                <w:color w:val="365F91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5"/>
            </w:tblGrid>
            <w:tr w:rsidR="00726B19" w:rsidRPr="00F44086" w:rsidTr="003E1A31">
              <w:trPr>
                <w:tblCellSpacing w:w="15" w:type="dxa"/>
              </w:trPr>
              <w:tc>
                <w:tcPr>
                  <w:tcW w:w="585" w:type="dxa"/>
                  <w:vAlign w:val="center"/>
                  <w:hideMark/>
                </w:tcPr>
                <w:p w:rsidR="00726B19" w:rsidRPr="00F44086" w:rsidRDefault="00726B19" w:rsidP="00726B19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52" w:hanging="252"/>
                    <w:rPr>
                      <w:rFonts w:cs="Calibri"/>
                      <w:i/>
                      <w:sz w:val="16"/>
                      <w:szCs w:val="16"/>
                    </w:rPr>
                  </w:pPr>
                  <w:r w:rsidRPr="00F44086">
                    <w:rPr>
                      <w:rFonts w:cs="Calibri"/>
                      <w:i/>
                      <w:sz w:val="16"/>
                      <w:szCs w:val="16"/>
                    </w:rPr>
                    <w:t>Expands coverage for screening</w:t>
                  </w:r>
                </w:p>
                <w:p w:rsidR="00726B19" w:rsidRPr="00F44086" w:rsidRDefault="00726B19" w:rsidP="00726B19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52" w:hanging="252"/>
                    <w:rPr>
                      <w:rFonts w:cs="Calibri"/>
                      <w:i/>
                      <w:sz w:val="16"/>
                      <w:szCs w:val="16"/>
                    </w:rPr>
                  </w:pPr>
                  <w:r w:rsidRPr="00F44086">
                    <w:rPr>
                      <w:rFonts w:cs="Calibri"/>
                      <w:i/>
                      <w:sz w:val="16"/>
                      <w:szCs w:val="16"/>
                    </w:rPr>
                    <w:t>Addresses high-risk populations.</w:t>
                  </w:r>
                </w:p>
              </w:tc>
            </w:tr>
          </w:tbl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vanish/>
                <w:color w:val="365F91"/>
                <w:sz w:val="16"/>
                <w:szCs w:val="16"/>
              </w:rPr>
            </w:pPr>
          </w:p>
        </w:tc>
        <w:tc>
          <w:tcPr>
            <w:tcW w:w="1528" w:type="dxa"/>
            <w:tcBorders>
              <w:left w:val="nil"/>
              <w:right w:val="nil"/>
            </w:tcBorders>
            <w:shd w:val="clear" w:color="auto" w:fill="D3DFEE"/>
          </w:tcPr>
          <w:tbl>
            <w:tblPr>
              <w:tblW w:w="993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93"/>
            </w:tblGrid>
            <w:tr w:rsidR="00726B19" w:rsidRPr="00F44086" w:rsidTr="003E1A31">
              <w:trPr>
                <w:tblCellSpacing w:w="15" w:type="dxa"/>
              </w:trPr>
              <w:tc>
                <w:tcPr>
                  <w:tcW w:w="933" w:type="dxa"/>
                  <w:vAlign w:val="center"/>
                  <w:hideMark/>
                </w:tcPr>
                <w:p w:rsidR="00726B19" w:rsidRPr="00F44086" w:rsidRDefault="00726B19" w:rsidP="00726B19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52" w:right="-167" w:hanging="252"/>
                    <w:rPr>
                      <w:rFonts w:cs="Calibri"/>
                      <w:i/>
                      <w:sz w:val="16"/>
                      <w:szCs w:val="16"/>
                    </w:rPr>
                  </w:pPr>
                  <w:r w:rsidRPr="00F44086">
                    <w:rPr>
                      <w:rFonts w:cs="Calibri"/>
                      <w:i/>
                      <w:sz w:val="16"/>
                      <w:szCs w:val="16"/>
                    </w:rPr>
                    <w:t>Not explicitly evaluate</w:t>
                  </w:r>
                </w:p>
              </w:tc>
            </w:tr>
          </w:tbl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Vinay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et al. (2025)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33</w:t>
            </w:r>
          </w:p>
        </w:tc>
        <w:tc>
          <w:tcPr>
            <w:tcW w:w="1080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2"/>
            </w:tblGrid>
            <w:tr w:rsidR="00726B19" w:rsidRPr="00F44086" w:rsidTr="003E1A31">
              <w:trPr>
                <w:tblCellSpacing w:w="15" w:type="dxa"/>
              </w:trPr>
              <w:tc>
                <w:tcPr>
                  <w:tcW w:w="872" w:type="dxa"/>
                  <w:vAlign w:val="center"/>
                  <w:hideMark/>
                </w:tcPr>
                <w:p w:rsidR="00726B19" w:rsidRPr="00F44086" w:rsidRDefault="00726B19" w:rsidP="003E1A31">
                  <w:pPr>
                    <w:spacing w:after="0" w:line="240" w:lineRule="auto"/>
                    <w:rPr>
                      <w:rFonts w:eastAsia="Times New Roman" w:cs="Calibri"/>
                      <w:i/>
                      <w:sz w:val="16"/>
                      <w:szCs w:val="16"/>
                    </w:rPr>
                  </w:pPr>
                  <w:r w:rsidRPr="00F44086">
                    <w:rPr>
                      <w:rFonts w:eastAsia="Times New Roman" w:cs="Calibri"/>
                      <w:i/>
                      <w:sz w:val="16"/>
                      <w:szCs w:val="16"/>
                    </w:rPr>
                    <w:t>Scoping review</w:t>
                  </w:r>
                </w:p>
              </w:tc>
            </w:tr>
          </w:tbl>
          <w:p w:rsidR="00726B19" w:rsidRPr="00E5406E" w:rsidRDefault="00726B19" w:rsidP="003E1A31">
            <w:pPr>
              <w:spacing w:after="0" w:line="240" w:lineRule="auto"/>
              <w:rPr>
                <w:rFonts w:eastAsia="Times New Roman" w:cs="Calibri"/>
                <w:i/>
                <w:vanish/>
                <w:color w:val="365F91"/>
                <w:sz w:val="16"/>
                <w:szCs w:val="16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"/>
            </w:tblGrid>
            <w:tr w:rsidR="00726B19" w:rsidRPr="00F44086" w:rsidTr="003E1A3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726B19" w:rsidRPr="00F44086" w:rsidRDefault="00726B19" w:rsidP="003E1A31">
                  <w:pPr>
                    <w:spacing w:after="0" w:line="240" w:lineRule="auto"/>
                    <w:rPr>
                      <w:rFonts w:eastAsia="Times New Roman" w:cs="Calibri"/>
                      <w:i/>
                      <w:sz w:val="16"/>
                      <w:szCs w:val="16"/>
                    </w:rPr>
                  </w:pPr>
                </w:p>
              </w:tc>
            </w:tr>
          </w:tbl>
          <w:p w:rsidR="00726B19" w:rsidRPr="00E5406E" w:rsidRDefault="00726B19" w:rsidP="003E1A31">
            <w:pPr>
              <w:spacing w:after="0" w:line="240" w:lineRule="auto"/>
              <w:rPr>
                <w:rFonts w:eastAsia="Times New Roman" w:cs="Calibri"/>
                <w:i/>
                <w:color w:val="365F91"/>
                <w:sz w:val="16"/>
                <w:szCs w:val="16"/>
              </w:rPr>
            </w:pPr>
          </w:p>
        </w:tc>
        <w:tc>
          <w:tcPr>
            <w:tcW w:w="1800" w:type="dxa"/>
          </w:tcPr>
          <w:p w:rsidR="00726B19" w:rsidRPr="00E5406E" w:rsidRDefault="00726B19" w:rsidP="003E1A31">
            <w:pPr>
              <w:spacing w:after="0" w:line="240" w:lineRule="auto"/>
              <w:jc w:val="both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AI for diagnosis, screening, prognosis, imaging, risk modeling, telemedicine</w:t>
            </w:r>
          </w:p>
        </w:tc>
        <w:tc>
          <w:tcPr>
            <w:tcW w:w="144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2" w:hanging="252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High diagnostic accuracy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2" w:hanging="252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High sensitivity, and specificity</w:t>
            </w:r>
          </w:p>
        </w:tc>
        <w:tc>
          <w:tcPr>
            <w:tcW w:w="135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2" w:hanging="252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Improved accessibility with Smartphone and telemedicine 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Supports AI’s integration into clinical practice.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Highlights screening in low resource settings.</w:t>
            </w:r>
          </w:p>
        </w:tc>
        <w:tc>
          <w:tcPr>
            <w:tcW w:w="152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Emphasis on ethical and regulatory frameworks.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Surenthar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et al. (2025)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eastAsia="Times New Roman"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Cross-sectional field evaluation of a mobile app (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DiagnOCe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) in primary healthcare settings across rural India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jc w:val="both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App '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DiagnOCe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' utilizes the </w:t>
            </w:r>
            <w:proofErr w:type="spellStart"/>
            <w:r w:rsidRPr="00E5406E">
              <w:rPr>
                <w:rStyle w:val="Strong"/>
                <w:rFonts w:cs="Calibri"/>
                <w:b w:val="0"/>
                <w:i/>
                <w:color w:val="365F91"/>
                <w:sz w:val="16"/>
                <w:szCs w:val="16"/>
              </w:rPr>
              <w:t>MobileNet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architecture for image-based classification and real-time screening.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Sensitivity: 85.33%, 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br/>
              <w:t xml:space="preserve">Specificity: 88%, 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br/>
              <w:t xml:space="preserve">Accuracy: 86.67% 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F1-Score: 86.43% 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br/>
              <w:t>Cohen’s κ: 0.88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Mobile app facilitates frontline healthcare workers to perform early screening.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Can be used in rural and low-resource settings where lack of specialists</w:t>
            </w:r>
            <w:proofErr w:type="gram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..</w:t>
            </w:r>
            <w:proofErr w:type="gramEnd"/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Enhances primary care workflows by prompt referral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AI can bridge the gap between PHC and tertiary care.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Offers affordable, scalable screening to underserved populations</w:t>
            </w:r>
          </w:p>
        </w:tc>
        <w:tc>
          <w:tcPr>
            <w:tcW w:w="152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Not addressed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Subramaniyan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E, (2024)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34</w:t>
            </w:r>
          </w:p>
        </w:tc>
        <w:tc>
          <w:tcPr>
            <w:tcW w:w="108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Perspective,</w:t>
            </w:r>
          </w:p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Global/or India-general context</w:t>
            </w:r>
          </w:p>
        </w:tc>
        <w:tc>
          <w:tcPr>
            <w:tcW w:w="180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AI used to predict oral cancer risk and its integration into prevention programs</w:t>
            </w:r>
          </w:p>
        </w:tc>
        <w:tc>
          <w:tcPr>
            <w:tcW w:w="144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AI enhances early detection. 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Use of advanced algorithms</w:t>
            </w:r>
          </w:p>
        </w:tc>
        <w:tc>
          <w:tcPr>
            <w:tcW w:w="135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Emphasis on need for high quality datasets.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Suggests integration into population programs.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Reported limited access to healthcare.  </w:t>
            </w:r>
          </w:p>
        </w:tc>
        <w:tc>
          <w:tcPr>
            <w:tcW w:w="152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Reported  ethical and data concerns 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Chakraborty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et al. (2023)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19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Pilot study in rural Indian clinics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MobileNet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-based CNN used with Auto-fluorescence imaging, </w:t>
            </w:r>
          </w:p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Image features combined with demographic/clinical data.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High sensitivity using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MobileNet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on Auto-fluorescence images.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Smartphone-based system suitable for low-income groups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This system is in pilot stage.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Unexplored its 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 xml:space="preserve">integration into real world. 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Addresses low-income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Emphasis on tobacc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o users</w:t>
            </w:r>
          </w:p>
        </w:tc>
        <w:tc>
          <w:tcPr>
            <w:tcW w:w="152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Data privacy not deeply discussed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hyperlink r:id="rId5" w:history="1">
              <w:proofErr w:type="spellStart"/>
              <w:r w:rsidRPr="00E5406E">
                <w:rPr>
                  <w:rStyle w:val="Hyperlink"/>
                  <w:rFonts w:cs="Calibri"/>
                  <w:b/>
                  <w:bCs/>
                  <w:i/>
                  <w:color w:val="000000"/>
                  <w:sz w:val="16"/>
                  <w:szCs w:val="16"/>
                </w:rPr>
                <w:t>Talwar</w:t>
              </w:r>
              <w:proofErr w:type="spellEnd"/>
            </w:hyperlink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V. (2023)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20</w:t>
            </w:r>
          </w:p>
        </w:tc>
        <w:tc>
          <w:tcPr>
            <w:tcW w:w="108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Pilot study</w:t>
            </w:r>
          </w:p>
        </w:tc>
        <w:tc>
          <w:tcPr>
            <w:tcW w:w="180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DenseNet201 and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Swin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Transformer via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smartphone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imaging</w:t>
            </w:r>
          </w:p>
        </w:tc>
        <w:tc>
          <w:tcPr>
            <w:tcW w:w="144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F1-score up to 0.84 on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smartphone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images</w:t>
            </w:r>
          </w:p>
        </w:tc>
        <w:tc>
          <w:tcPr>
            <w:tcW w:w="135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Usable by frontline healthcare workers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Potential for community screening programs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Focused on low-resource rural settings</w:t>
            </w:r>
          </w:p>
        </w:tc>
        <w:tc>
          <w:tcPr>
            <w:tcW w:w="152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Need of data quality and validation. 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Haj-Hosseini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et al. (2022)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35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Narrative Review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Emerging AI components paired with techniques like Auto-fluorescence, Raman spectroscopy, OCT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Reviews multiple screening technologies with AI analysis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Focused at primary health and rural settings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Advocates AI for primary care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Recognized global and Indian challenges</w:t>
            </w:r>
          </w:p>
        </w:tc>
        <w:tc>
          <w:tcPr>
            <w:tcW w:w="152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Addressed Ethical issues briefly.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Jain (2024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25</w:t>
            </w:r>
          </w:p>
        </w:tc>
        <w:tc>
          <w:tcPr>
            <w:tcW w:w="108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Narrative review</w:t>
            </w:r>
          </w:p>
        </w:tc>
        <w:tc>
          <w:tcPr>
            <w:tcW w:w="180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Imaging and AI integrated into screening programs</w:t>
            </w:r>
          </w:p>
        </w:tc>
        <w:tc>
          <w:tcPr>
            <w:tcW w:w="144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Improved accuracy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Showed  effectiveness in screening</w:t>
            </w:r>
          </w:p>
        </w:tc>
        <w:tc>
          <w:tcPr>
            <w:tcW w:w="135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Focused on imaging and AI integration.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Suggested  AI use with conventional methods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Addressed underdeveloped regions.</w:t>
            </w:r>
          </w:p>
        </w:tc>
        <w:tc>
          <w:tcPr>
            <w:tcW w:w="152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Reported Ethical and privacy issues. 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Veeraraghavan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et al. (2024)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22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Systematic Review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AI for detection and diagnosis of oral cancer using imaging and histopathology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Encouraged lesion identification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Enhanced prognostic prediction.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AI applied to histopathology and images. 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Limited to diagnostics</w:t>
            </w:r>
          </w:p>
          <w:p w:rsidR="00726B19" w:rsidRPr="00E5406E" w:rsidRDefault="00726B19" w:rsidP="003E1A31">
            <w:pPr>
              <w:pStyle w:val="ListParagraph"/>
              <w:spacing w:after="0" w:line="240" w:lineRule="auto"/>
              <w:ind w:left="360"/>
              <w:rPr>
                <w:rFonts w:cs="Calibri"/>
                <w:i/>
                <w:color w:val="365F91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Limited clinical practice inclusion.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Reported Dataset variability affects adoption</w:t>
            </w:r>
          </w:p>
        </w:tc>
        <w:tc>
          <w:tcPr>
            <w:tcW w:w="152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Regulatory and ethical challenges noted.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Sahoo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et al. (2024)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36</w:t>
            </w:r>
          </w:p>
        </w:tc>
        <w:tc>
          <w:tcPr>
            <w:tcW w:w="108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Systematic Review &amp; meta-analysis</w:t>
            </w:r>
          </w:p>
        </w:tc>
        <w:tc>
          <w:tcPr>
            <w:tcW w:w="180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Deep learning models across imaging modalities </w:t>
            </w:r>
          </w:p>
        </w:tc>
        <w:tc>
          <w:tcPr>
            <w:tcW w:w="144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Supports excellent performance of AI models in detecting OPMDs and oral cancer.</w:t>
            </w:r>
          </w:p>
        </w:tc>
        <w:tc>
          <w:tcPr>
            <w:tcW w:w="135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Not discussed, limited to diagnostic performance. 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Based on imaging studies.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Focused on model effectiveness rather than implementation.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Emphasis is on accuracy rather than policy.</w:t>
            </w:r>
          </w:p>
        </w:tc>
        <w:tc>
          <w:tcPr>
            <w:tcW w:w="152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Not addressed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Thakuria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et al. (2024)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Systematic review (PROSPERO-registered, PRISMA)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DL architectures using handheld imagery (CNNs: DenseNet121, VGG19,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EfficientNet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, Inception-V4, Faster R-CNN)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High precision, and specificity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High accuracy.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Emphasis on handheld (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smartphone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/DSLR) use in low resource settings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Highlights the potential for AI and telemedicine integration.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Improved accessibility in constrained environments.</w:t>
            </w:r>
          </w:p>
        </w:tc>
        <w:tc>
          <w:tcPr>
            <w:tcW w:w="152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Addressed ethical issues, like data transparency.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Need for trust-building AI methods.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Shah &amp; </w:t>
            </w: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Pareek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(2024)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14</w:t>
            </w:r>
          </w:p>
        </w:tc>
        <w:tc>
          <w:tcPr>
            <w:tcW w:w="108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Experimental application development; Smartphone-based screening</w:t>
            </w:r>
          </w:p>
        </w:tc>
        <w:tc>
          <w:tcPr>
            <w:tcW w:w="180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Deep Oral Augmented Model (DOAM) with CNN and K-fold validation, deployed via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TensorFlow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Lite</w:t>
            </w:r>
            <w:proofErr w:type="spellEnd"/>
          </w:p>
        </w:tc>
        <w:tc>
          <w:tcPr>
            <w:tcW w:w="144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Achieved ~96% validation accuracy, precision, and F1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Test accuracy dropped to 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68%.</w:t>
            </w:r>
          </w:p>
        </w:tc>
        <w:tc>
          <w:tcPr>
            <w:tcW w:w="1350" w:type="dxa"/>
          </w:tcPr>
          <w:p w:rsidR="00726B19" w:rsidRPr="00E5406E" w:rsidRDefault="00726B19" w:rsidP="00726B19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Designed as an Android app for point-of-care screening.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proofErr w:type="gram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Focused  on</w:t>
            </w:r>
            <w:proofErr w:type="gram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tool development rather than integration.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Enables low-cost, rapid triaging via mobile phone</w:t>
            </w:r>
          </w:p>
          <w:p w:rsidR="00726B19" w:rsidRPr="00E5406E" w:rsidRDefault="00726B19" w:rsidP="00726B19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Can 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used for underserved populations</w:t>
            </w:r>
          </w:p>
        </w:tc>
        <w:tc>
          <w:tcPr>
            <w:tcW w:w="1528" w:type="dxa"/>
          </w:tcPr>
          <w:p w:rsidR="00726B19" w:rsidRPr="00E5406E" w:rsidRDefault="00726B19" w:rsidP="00726B19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Not addressed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lastRenderedPageBreak/>
              <w:t>Praveen et al (2024)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 xml:space="preserve"> 16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Technical study of hybrid CNN model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Hybrid CNN combining multiple architectures for robust classification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Reports high sensitivity and specificity.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Cross-clinical adaptability reported.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Not explicitly stated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Model designed for clinical use across environments.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Not addressed. 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This model is at inception stage.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Potential to improve screening accuracy and broaden reach</w:t>
            </w:r>
          </w:p>
        </w:tc>
        <w:tc>
          <w:tcPr>
            <w:tcW w:w="152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Not addressed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Bhaskar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et al (2024)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17</w:t>
            </w:r>
          </w:p>
        </w:tc>
        <w:tc>
          <w:tcPr>
            <w:tcW w:w="108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Hybrid CNN model for screening</w:t>
            </w:r>
          </w:p>
        </w:tc>
        <w:tc>
          <w:tcPr>
            <w:tcW w:w="180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Hybrid CNN-based classification of oral lesions</w:t>
            </w:r>
          </w:p>
        </w:tc>
        <w:tc>
          <w:tcPr>
            <w:tcW w:w="144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High detection potential </w:t>
            </w:r>
          </w:p>
        </w:tc>
        <w:tc>
          <w:tcPr>
            <w:tcW w:w="135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Implied smart-phone or computational deployment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Not addressed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Supported low-cost screening in resource-constrained zones.</w:t>
            </w:r>
          </w:p>
        </w:tc>
        <w:tc>
          <w:tcPr>
            <w:tcW w:w="152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Not addressed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Shakila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et al. (2024)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15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Deep learning model combining clinical and imaging data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Multimodal deep learning integrating clinical + imaging data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Potentially high — aligns with advanced model use in clinical settings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May support clinical workflows by integrating diverse data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Improved early detection.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Use of smarter screening systems</w:t>
            </w:r>
          </w:p>
        </w:tc>
        <w:tc>
          <w:tcPr>
            <w:tcW w:w="152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Not addressed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Elumalai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K (2024)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37</w:t>
            </w:r>
          </w:p>
        </w:tc>
        <w:tc>
          <w:tcPr>
            <w:tcW w:w="108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Narrative review</w:t>
            </w:r>
          </w:p>
        </w:tc>
        <w:tc>
          <w:tcPr>
            <w:tcW w:w="180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AI-based tools for early detection, imaging, diagnosis workflows</w:t>
            </w:r>
          </w:p>
        </w:tc>
        <w:tc>
          <w:tcPr>
            <w:tcW w:w="144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Highlighted AI’s high detection capability</w:t>
            </w:r>
          </w:p>
        </w:tc>
        <w:tc>
          <w:tcPr>
            <w:tcW w:w="135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Provide accessible diagnostic solutions through imaging.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AI might transform diagnostic workflows.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Enhance patient management.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Increases healthcare delivery in environments with limited resources</w:t>
            </w:r>
            <w:proofErr w:type="gram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..</w:t>
            </w:r>
            <w:proofErr w:type="gramEnd"/>
          </w:p>
        </w:tc>
        <w:tc>
          <w:tcPr>
            <w:tcW w:w="152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Not addressed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Juttukonda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et al. (2024)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23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Narrative/histopathology review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AI for grading, lesion differentiation, prognosis support using digital histopathology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Quantitative data not available</w:t>
            </w:r>
          </w:p>
          <w:p w:rsidR="00726B19" w:rsidRPr="00E5406E" w:rsidRDefault="00726B19" w:rsidP="00726B19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Highlights improved accuracy and reproducibility.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Enhances pathologist workflow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Help in faster diagnosis.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Supports pathologist augmentation ("augmented intelligence")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Not formally 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integrated yet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 xml:space="preserve">Addressed workforce strain, diagnostic bottlenecks. 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Have potential for improv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ed outcomes.</w:t>
            </w:r>
          </w:p>
        </w:tc>
        <w:tc>
          <w:tcPr>
            <w:tcW w:w="152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Reported challenges like bias, data storage, ethics, privacy, and "black-box" nature of AI.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lastRenderedPageBreak/>
              <w:t>Karishma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&amp; </w:t>
            </w: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Saravanan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(2024)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 xml:space="preserve"> 30</w:t>
            </w:r>
          </w:p>
        </w:tc>
        <w:tc>
          <w:tcPr>
            <w:tcW w:w="108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Narative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review</w:t>
            </w:r>
          </w:p>
        </w:tc>
        <w:tc>
          <w:tcPr>
            <w:tcW w:w="180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AI for biomarker identification and early detection.</w:t>
            </w:r>
          </w:p>
        </w:tc>
        <w:tc>
          <w:tcPr>
            <w:tcW w:w="144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Focused on biomarker discovery.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Diagnostic performance not explored</w:t>
            </w:r>
          </w:p>
        </w:tc>
        <w:tc>
          <w:tcPr>
            <w:tcW w:w="135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Not addressed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Emphasis on precision and personalized diagnostics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Operational implementation is still work in progress.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proofErr w:type="gram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offers</w:t>
            </w:r>
            <w:proofErr w:type="gram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cost-effective, non-invasive detection methods.</w:t>
            </w:r>
          </w:p>
        </w:tc>
        <w:tc>
          <w:tcPr>
            <w:tcW w:w="152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Addressed challenges like data bias and interdisciplinary collaboration.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proofErr w:type="gram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Suggests  awareness</w:t>
            </w:r>
            <w:proofErr w:type="gram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for governance needs.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Kharche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et al. (2024)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Narative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review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AI’s focus to enhance diagnostic accuracy, reduce risk, and improve patient quality of life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Enhance detection performance.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Promises more equitable access to screening.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Need for healthcare provider collaboration.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Not addressed</w:t>
            </w:r>
          </w:p>
        </w:tc>
        <w:tc>
          <w:tcPr>
            <w:tcW w:w="152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Highlights challenges such as data privacy, training datasets, and system integration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Hoda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et al. (2024)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39</w:t>
            </w:r>
          </w:p>
        </w:tc>
        <w:tc>
          <w:tcPr>
            <w:tcW w:w="108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Narrative review</w:t>
            </w:r>
          </w:p>
        </w:tc>
        <w:tc>
          <w:tcPr>
            <w:tcW w:w="180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Focus on CNNs and optical imaging modalities; segmentation and lesion severity classification</w:t>
            </w:r>
          </w:p>
        </w:tc>
        <w:tc>
          <w:tcPr>
            <w:tcW w:w="144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Performance gains of advanced image processing, with 3D CNNs achieving notable detection improvements (~6% over 2D models, up to ~99.3% accuracy)</w:t>
            </w:r>
          </w:p>
        </w:tc>
        <w:tc>
          <w:tcPr>
            <w:tcW w:w="135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Highlights potential for scalable, AI-enhanced diagnostics in clinical settings.</w:t>
            </w:r>
          </w:p>
          <w:p w:rsidR="00726B19" w:rsidRPr="00E5406E" w:rsidRDefault="00726B19" w:rsidP="003E1A31">
            <w:pPr>
              <w:pStyle w:val="ListParagraph"/>
              <w:spacing w:after="0" w:line="240" w:lineRule="auto"/>
              <w:ind w:left="360"/>
              <w:rPr>
                <w:rFonts w:cs="Calibri"/>
                <w:i/>
                <w:color w:val="365F91"/>
                <w:sz w:val="16"/>
                <w:szCs w:val="16"/>
              </w:rPr>
            </w:pP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Provides a framework from image capture to segmentation and lesion evaluation—suggesting a path toward implementation.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Emphasis on early detection using minimal imagery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Implied a cost-effective, accessible solution in areas with limited resources.</w:t>
            </w:r>
          </w:p>
        </w:tc>
        <w:tc>
          <w:tcPr>
            <w:tcW w:w="152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Not addressed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Birur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N. et al (2022)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18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Field validation of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mHealth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-based AI screening tool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CNN models (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MobileNet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on-device, VGG19 in cloud)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Remote specialists: Sensitivity 95%, Specificity 84%. 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On-site specialists: Sensitivity 94%.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MobileNet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phone CNN: Sensitivity 82%; Cloud VGG19: 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 xml:space="preserve">Sensitivity 87%. 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FHWs varied with training level.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Designed for frontline workers.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Use of Smart phones and dual-image capture (wide field + probe).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Can used in low-resource rural Indian 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settings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 xml:space="preserve">Demonstrated integration via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mHealth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tool.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Help frontline worker in screening and remote speciali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st triaging</w:t>
            </w:r>
            <w:proofErr w:type="gram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..</w:t>
            </w:r>
            <w:proofErr w:type="gramEnd"/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Empowers Frontline healthcare worker (FHW) for screening.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Provide low cost, scalabl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 xml:space="preserve">e </w:t>
            </w:r>
            <w:proofErr w:type="gram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screening  in</w:t>
            </w:r>
            <w:proofErr w:type="gram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under-served communities.</w:t>
            </w:r>
          </w:p>
        </w:tc>
        <w:tc>
          <w:tcPr>
            <w:tcW w:w="152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Not addressed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lastRenderedPageBreak/>
              <w:t>Yeladandi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et al. (2024)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108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Cross-sectional study in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hyderabad</w:t>
            </w:r>
            <w:proofErr w:type="spellEnd"/>
          </w:p>
        </w:tc>
        <w:tc>
          <w:tcPr>
            <w:tcW w:w="180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AI-based analysis of fluorescence images</w:t>
            </w:r>
          </w:p>
        </w:tc>
        <w:tc>
          <w:tcPr>
            <w:tcW w:w="144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Sensitivity: 100%;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Specificity: 69.2%;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Overall accuracy: 90%;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Cohen’s κ for detection: 0.752 (substantial), for dysplasia grading: 0.539 (moderate)</w:t>
            </w:r>
          </w:p>
        </w:tc>
        <w:tc>
          <w:tcPr>
            <w:tcW w:w="135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Portable, non-invasive, fluorescence-based screening tool.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Suitable for clinical use.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Acts as a supporting tool for biopsies.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Help in early detection.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Offers cost-effective tool for early detection across broader populations.</w:t>
            </w:r>
          </w:p>
        </w:tc>
        <w:tc>
          <w:tcPr>
            <w:tcW w:w="152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Not addressed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Viswanathan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et al. (2024)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24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Narative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review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AI applications in oral pathology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AI’s potential in detecting subtle features that are hard to visualize manually.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AI can aid pathologists by improving workflows.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Reduce diagnostic delays.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Advocates AI as a supportive tool rather than a replacement.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Improves clinical decision-making.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Not explored</w:t>
            </w:r>
          </w:p>
        </w:tc>
        <w:tc>
          <w:tcPr>
            <w:tcW w:w="152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Mentioned the need for large datasets and data-sharing framework.</w:t>
            </w:r>
          </w:p>
          <w:p w:rsidR="00726B19" w:rsidRPr="00E5406E" w:rsidRDefault="00726B19" w:rsidP="003E1A31">
            <w:pPr>
              <w:pStyle w:val="ListParagraph"/>
              <w:spacing w:after="0" w:line="240" w:lineRule="auto"/>
              <w:ind w:left="360"/>
              <w:rPr>
                <w:rFonts w:cs="Calibri"/>
                <w:i/>
                <w:color w:val="365F91"/>
                <w:sz w:val="16"/>
                <w:szCs w:val="16"/>
              </w:rPr>
            </w:pP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Kavyashree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C. et al (2024)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 xml:space="preserve"> 27</w:t>
            </w:r>
          </w:p>
        </w:tc>
        <w:tc>
          <w:tcPr>
            <w:tcW w:w="108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Systematic review</w:t>
            </w:r>
          </w:p>
        </w:tc>
        <w:tc>
          <w:tcPr>
            <w:tcW w:w="180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Deep learning (37%), Machine Learning (32%), Genetic Algorithms (12%), Data Mining (10%), Fuzzy Computing (9%)</w:t>
            </w:r>
          </w:p>
        </w:tc>
        <w:tc>
          <w:tcPr>
            <w:tcW w:w="144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Deep learning (especially CNNs) is identified as highly accurate.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It is efficient in automating oral cancer detection.</w:t>
            </w:r>
          </w:p>
        </w:tc>
        <w:tc>
          <w:tcPr>
            <w:tcW w:w="135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Not deeply explored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Robust automated systems can improve early detection workflows.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Emphasis on the necessity for multimodal AI models and real-time operational capability for deployment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Real time integration not discussed.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Cost-effectiveness and speed of AI solutions reported, implicitly supporting their scalable utility in various clinical environments.</w:t>
            </w:r>
          </w:p>
        </w:tc>
        <w:tc>
          <w:tcPr>
            <w:tcW w:w="152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Governance frameworks not addressed.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Reported data variability challenges and misclassification risks.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proofErr w:type="gram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Emphasize  the</w:t>
            </w:r>
            <w:proofErr w:type="gram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need for robust, generalized AI systems.</w:t>
            </w:r>
          </w:p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Kumar et al. (2024)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lastRenderedPageBreak/>
              <w:t>12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 xml:space="preserve">Experimental study on deep 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learning model for OSCC detection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Inception-ResNet-V2 CNN with transfer learning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Achieved accuracy of 91.78%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Suitable for pathology environmen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ts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Can enhance clinical workflows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Model still in technic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al stage; not yet integrated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 xml:space="preserve">Potential for high 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diagnostic precision in clinical settings</w:t>
            </w:r>
          </w:p>
        </w:tc>
        <w:tc>
          <w:tcPr>
            <w:tcW w:w="152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Not addressed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lastRenderedPageBreak/>
              <w:t>Mahadevan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et al. (2025)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31</w:t>
            </w:r>
          </w:p>
        </w:tc>
        <w:tc>
          <w:tcPr>
            <w:tcW w:w="108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Narrative review</w:t>
            </w:r>
          </w:p>
        </w:tc>
        <w:tc>
          <w:tcPr>
            <w:tcW w:w="180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AI (Machine learning &amp; Deep learning) for early oral cancer detection</w:t>
            </w:r>
          </w:p>
        </w:tc>
        <w:tc>
          <w:tcPr>
            <w:tcW w:w="144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AI demonstrates strong performance in early detection—especially CNN and RVM models—with accuracy up to ~94–96%</w:t>
            </w:r>
          </w:p>
        </w:tc>
        <w:tc>
          <w:tcPr>
            <w:tcW w:w="135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Mobile-based imaging tools (e.g. LED/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autofluorescence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via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smartphones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) are highlighted, making screening feasible at the front lines.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Outlines how AI tools can assist FHWs in triaging patients and facilitating remote specialist consultation flows.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Not explored.</w:t>
            </w:r>
          </w:p>
        </w:tc>
        <w:tc>
          <w:tcPr>
            <w:tcW w:w="152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Need for expanded datasets,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generalizability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, and standardization. Requires governance frameworks and ethics.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Vijay P</w:t>
            </w:r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et al. (2024)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40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Narative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review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AI (Machine learning (ML) and Deep learning (DL)) for oral cancer diagnosis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Convolutional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neural networks (CNNs</w:t>
            </w:r>
            <w:proofErr w:type="gram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),</w:t>
            </w:r>
            <w:proofErr w:type="gram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have shown high accuracy in detecting abnormal lesions.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ML and DL models offer faster and more consistent image analysis than human interpretation.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These tools can improve accessibility, especially in resource-limited settings.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Seamless integration of AI into clinical workflow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requiredfor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practical use.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Not discussed</w:t>
            </w:r>
          </w:p>
        </w:tc>
        <w:tc>
          <w:tcPr>
            <w:tcW w:w="152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Recognizes the need of high quality datasets and regulation for effective AI models in healthcare.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Dixit S et al (2023)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 xml:space="preserve"> 32</w:t>
            </w:r>
          </w:p>
        </w:tc>
        <w:tc>
          <w:tcPr>
            <w:tcW w:w="108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Systematic review</w:t>
            </w:r>
          </w:p>
        </w:tc>
        <w:tc>
          <w:tcPr>
            <w:tcW w:w="180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Machine Learning and Deep Learning models (e.g., CNNs, hybrid models) for early detection and diagnosis of oral cancer</w:t>
            </w:r>
          </w:p>
        </w:tc>
        <w:tc>
          <w:tcPr>
            <w:tcW w:w="144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Higher precision reported with Deep learning models. </w:t>
            </w:r>
          </w:p>
          <w:p w:rsidR="00726B19" w:rsidRPr="00E5406E" w:rsidRDefault="00726B19" w:rsidP="00726B19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These models efficient in lesion detection and diagnosis.</w:t>
            </w:r>
          </w:p>
        </w:tc>
        <w:tc>
          <w:tcPr>
            <w:tcW w:w="135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These tools can streamline diagnostics and support in decision-making.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Can be beneficial in resource-limited settings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Suggests future integration of AI into clinical workflows.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Help in precise decision making.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Real-world implementation 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discussed as future direction.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Offers affordable and scalable diagnostic solutions.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Enhance screening coverage especially where specialists are 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limited.</w:t>
            </w:r>
          </w:p>
        </w:tc>
        <w:tc>
          <w:tcPr>
            <w:tcW w:w="152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Highlights gaps around dataset diversity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Need of data standardization and interpretability.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lastRenderedPageBreak/>
              <w:t>Salwaji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et al. (2025)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41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Scoping review of AI impact on early diagnosis &amp; treatment outcomes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AI models applied to both screening and treatment evaluation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Summarizes AI effectiveness in both early diagnosis and treatment prediction.</w:t>
            </w:r>
          </w:p>
          <w:p w:rsidR="00726B19" w:rsidRPr="00E5406E" w:rsidRDefault="00726B19" w:rsidP="00726B19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Performance metrics not mentioned.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Highlights AI potential in routine diagnostics and outcome monitoring.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Suggests AI could integrate across clinical pathways, from screening to follow-up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Emphasizes cost-efficient and scalable care delivery through AI</w:t>
            </w:r>
          </w:p>
        </w:tc>
        <w:tc>
          <w:tcPr>
            <w:tcW w:w="152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Notes general limitation.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Challenges like dataset variability and need for standard protocols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Khanna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ST et al (2025)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28</w:t>
            </w:r>
          </w:p>
        </w:tc>
        <w:tc>
          <w:tcPr>
            <w:tcW w:w="108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Literature review of 50 studies </w:t>
            </w:r>
          </w:p>
        </w:tc>
        <w:tc>
          <w:tcPr>
            <w:tcW w:w="180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Machine learning, deep learning, CNNs, SVMs,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radiomics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,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smartphone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-based AI tools</w:t>
            </w:r>
          </w:p>
        </w:tc>
        <w:tc>
          <w:tcPr>
            <w:tcW w:w="1440" w:type="dxa"/>
          </w:tcPr>
          <w:p w:rsidR="00726B19" w:rsidRPr="00E5406E" w:rsidRDefault="00726B19" w:rsidP="00726B19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High diagnostic accuracy reported (up to 99.2% in some models; lowest ~73.6%).</w:t>
            </w:r>
          </w:p>
          <w:p w:rsidR="00726B19" w:rsidRPr="00E5406E" w:rsidRDefault="00726B19" w:rsidP="00726B19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Improved early detection compared to conventional methods</w:t>
            </w:r>
          </w:p>
        </w:tc>
        <w:tc>
          <w:tcPr>
            <w:tcW w:w="135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Emphasized smart-phone-based, low-cost, and portable devices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useful in low-resource/rural settings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Discussed potential integration with clinical workflows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Assist  as a support in clinical decision making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Lack of real-world validation reported.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Identified potential for cost reduction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widens screening coverage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reducesd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diagnostic delays</w:t>
            </w:r>
          </w:p>
        </w:tc>
        <w:tc>
          <w:tcPr>
            <w:tcW w:w="152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Reported gaps in interpretability (“black-box” models)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Need of governance, patient data protections, and transparency for clinical adoption.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Karunakaran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N (2025)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21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Systematic review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Machine Learning (SVM) and Deep Learning (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MobileNet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v2,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ResNet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) applied to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smartphone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image datasets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SVM: Sensitivity 89–92%, Specificity 75–82%;</w:t>
            </w:r>
          </w:p>
          <w:p w:rsidR="00726B19" w:rsidRPr="00E5406E" w:rsidRDefault="00726B19" w:rsidP="00726B19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DL: Sensitivity 85.12–90.23%, Specificity 87.64–90%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Smartphone imaging enables viable AI-driven oral cancer detection.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Enhances screening coverage in low-resource settings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Emphasis on use of Smartphone-AI tools into primary care and remote triage systems.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Real world integration is limited.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Offers scalable, low-cost, wide-reach screening using ubiquitous mobile devices and AI.</w:t>
            </w:r>
          </w:p>
        </w:tc>
        <w:tc>
          <w:tcPr>
            <w:tcW w:w="152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Quality and bias were assessed via standard tools.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Governance issues like patient privacy and clinical standards are unaddressed.</w:t>
            </w:r>
          </w:p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</w:tcPr>
          <w:p w:rsidR="00726B19" w:rsidRPr="00E240B6" w:rsidRDefault="00726B19" w:rsidP="003E1A31">
            <w:p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</w:pPr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32. </w:t>
            </w:r>
            <w:proofErr w:type="spellStart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>Darmehram</w:t>
            </w:r>
            <w:proofErr w:type="spellEnd"/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lastRenderedPageBreak/>
              <w:t>R et al (2025)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29</w:t>
            </w:r>
          </w:p>
          <w:p w:rsidR="00726B19" w:rsidRPr="00E5406E" w:rsidRDefault="00726B19" w:rsidP="003E1A31">
            <w:p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</w:pPr>
          </w:p>
        </w:tc>
        <w:tc>
          <w:tcPr>
            <w:tcW w:w="108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 xml:space="preserve">Development and 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 xml:space="preserve">evaluation of a real-time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smartphone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-based oral cancer detection system</w:t>
            </w:r>
          </w:p>
        </w:tc>
        <w:tc>
          <w:tcPr>
            <w:tcW w:w="1800" w:type="dxa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 xml:space="preserve">Implementation of two advanced deep learning 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 xml:space="preserve">models—ResNet152V2 (98% training, 93% validation accuracy) and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MobileNet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(97% training, 92% validation accuracy)—deployed via a Flask-based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smartphone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app.</w:t>
            </w:r>
          </w:p>
        </w:tc>
        <w:tc>
          <w:tcPr>
            <w:tcW w:w="1440" w:type="dxa"/>
          </w:tcPr>
          <w:p w:rsidR="00726B19" w:rsidRPr="00E5406E" w:rsidRDefault="00726B19" w:rsidP="00726B19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 xml:space="preserve">High performance 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with ResNet152V2</w:t>
            </w:r>
          </w:p>
          <w:p w:rsidR="00726B19" w:rsidRPr="00E5406E" w:rsidRDefault="00726B19" w:rsidP="00726B19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Achieved 93% validation</w:t>
            </w:r>
          </w:p>
          <w:p w:rsidR="00726B19" w:rsidRPr="00E5406E" w:rsidRDefault="00726B19" w:rsidP="00726B19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Accuracy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MobileNet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achieved 92%.</w:t>
            </w:r>
          </w:p>
        </w:tc>
        <w:tc>
          <w:tcPr>
            <w:tcW w:w="135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 xml:space="preserve">This system enables 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non-specialists to perform real-time classification using smart phones.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Offers a low-resource solution for early oral cancer detection.</w:t>
            </w:r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 xml:space="preserve">Designed for 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practical use in primary or community settings.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Use of real-time screening system help in early referral and decision-making</w:t>
            </w:r>
            <w:proofErr w:type="gram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..</w:t>
            </w:r>
            <w:proofErr w:type="gramEnd"/>
          </w:p>
        </w:tc>
        <w:tc>
          <w:tcPr>
            <w:tcW w:w="1080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 xml:space="preserve">Presents a </w:t>
            </w: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cost-effective and scalable model to improve early detection rates, particularly in underserved and rural areas.</w:t>
            </w:r>
          </w:p>
        </w:tc>
        <w:tc>
          <w:tcPr>
            <w:tcW w:w="1528" w:type="dxa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lastRenderedPageBreak/>
              <w:t>Not addressed</w:t>
            </w:r>
          </w:p>
        </w:tc>
      </w:tr>
      <w:tr w:rsidR="00726B19" w:rsidRPr="00E5406E" w:rsidTr="003E1A31">
        <w:trPr>
          <w:jc w:val="center"/>
        </w:trPr>
        <w:tc>
          <w:tcPr>
            <w:tcW w:w="1098" w:type="dxa"/>
            <w:tcBorders>
              <w:left w:val="nil"/>
              <w:right w:val="nil"/>
            </w:tcBorders>
            <w:shd w:val="clear" w:color="auto" w:fill="D3DFEE"/>
          </w:tcPr>
          <w:p w:rsidR="00726B19" w:rsidRPr="00504821" w:rsidRDefault="00726B19" w:rsidP="003E1A31">
            <w:pPr>
              <w:spacing w:after="0" w:line="240" w:lineRule="auto"/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</w:pPr>
            <w:r w:rsidRPr="00E5406E"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lastRenderedPageBreak/>
              <w:t>33.Aditya A et al (2023)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bCs/>
                <w:i/>
                <w:color w:val="365F91"/>
                <w:sz w:val="16"/>
                <w:szCs w:val="16"/>
                <w:vertAlign w:val="superscript"/>
              </w:rPr>
              <w:t>42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Systematic review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3E1A31">
            <w:p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AI-based technologies (e.g., deep learning, neural networks) for diagnosing oral malignant and potentially malignant lesions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Pooled sensitivity of 0.83 (95% CI: 0.80–0.86), statistically significant.</w:t>
            </w:r>
          </w:p>
          <w:p w:rsidR="00726B19" w:rsidRPr="00E5406E" w:rsidRDefault="00726B19" w:rsidP="00726B19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proofErr w:type="spellStart"/>
            <w:proofErr w:type="gram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demonstratedAI's</w:t>
            </w:r>
            <w:proofErr w:type="spellEnd"/>
            <w:proofErr w:type="gram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efficiency in identifying malignant and premalignant lesions compared to histopathology.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Enables scalable screening, especially in resource-limited settings.</w:t>
            </w:r>
          </w:p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Though usability and implementation specifics are not directly addressed.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Implicates AI as a valuable adjunct to standard </w:t>
            </w:r>
            <w:proofErr w:type="spellStart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histopathologic</w:t>
            </w:r>
            <w:proofErr w:type="spellEnd"/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 xml:space="preserve"> evaluation, enhancing diagnostic reach.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Promotes broader, cost-effective diagnostic reach particularly valuable in underserved areas.</w:t>
            </w:r>
          </w:p>
        </w:tc>
        <w:tc>
          <w:tcPr>
            <w:tcW w:w="1528" w:type="dxa"/>
            <w:tcBorders>
              <w:left w:val="nil"/>
              <w:right w:val="nil"/>
            </w:tcBorders>
            <w:shd w:val="clear" w:color="auto" w:fill="D3DFEE"/>
          </w:tcPr>
          <w:p w:rsidR="00726B19" w:rsidRPr="00E5406E" w:rsidRDefault="00726B19" w:rsidP="00726B1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/>
                <w:color w:val="365F91"/>
                <w:sz w:val="16"/>
                <w:szCs w:val="16"/>
              </w:rPr>
            </w:pPr>
            <w:r w:rsidRPr="00E5406E">
              <w:rPr>
                <w:rFonts w:cs="Calibri"/>
                <w:i/>
                <w:color w:val="365F91"/>
                <w:sz w:val="16"/>
                <w:szCs w:val="16"/>
              </w:rPr>
              <w:t>Not addressed</w:t>
            </w:r>
          </w:p>
        </w:tc>
      </w:tr>
    </w:tbl>
    <w:p w:rsidR="00726B19" w:rsidRDefault="00726B19" w:rsidP="00726B19">
      <w:pPr>
        <w:spacing w:beforeAutospacing="1" w:after="0" w:afterAutospacing="1" w:line="240" w:lineRule="auto"/>
        <w:outlineLvl w:val="0"/>
        <w:rPr>
          <w:rFonts w:ascii="Times New Roman" w:eastAsia="Times New Roman" w:hAnsi="Times New Roman"/>
          <w:bCs/>
          <w:color w:val="1F1F1F"/>
          <w:kern w:val="36"/>
          <w:sz w:val="24"/>
          <w:szCs w:val="24"/>
        </w:rPr>
      </w:pPr>
    </w:p>
    <w:p w:rsidR="00E4690A" w:rsidRDefault="00E4690A"/>
    <w:sectPr w:rsidR="00E4690A" w:rsidSect="00E46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6168C"/>
    <w:multiLevelType w:val="hybridMultilevel"/>
    <w:tmpl w:val="2A205A42"/>
    <w:lvl w:ilvl="0" w:tplc="C7FA3A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B6729F"/>
    <w:multiLevelType w:val="hybridMultilevel"/>
    <w:tmpl w:val="C26E77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726B19"/>
    <w:rsid w:val="00726B19"/>
    <w:rsid w:val="00E46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B1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26B19"/>
    <w:rPr>
      <w:b/>
      <w:bCs/>
    </w:rPr>
  </w:style>
  <w:style w:type="character" w:styleId="Hyperlink">
    <w:name w:val="Hyperlink"/>
    <w:uiPriority w:val="99"/>
    <w:unhideWhenUsed/>
    <w:rsid w:val="00726B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26B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med.ncbi.nlm.nih.gov/?term=Talwar+V&amp;cauthor_id=376271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2527</Words>
  <Characters>14406</Characters>
  <Application>Microsoft Office Word</Application>
  <DocSecurity>0</DocSecurity>
  <Lines>120</Lines>
  <Paragraphs>33</Paragraphs>
  <ScaleCrop>false</ScaleCrop>
  <Company/>
  <LinksUpToDate>false</LinksUpToDate>
  <CharactersWithSpaces>16900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2025-11-26T08:53:00Z</dcterms:created>
  <dcterms:modified xsi:type="dcterms:W3CDTF">2025-11-26T08:56:00Z</dcterms:modified>
</cp:coreProperties>
</file>